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9E60" w14:textId="50B1E87A" w:rsidR="00EB06CB" w:rsidRPr="0092458B" w:rsidRDefault="00EB06CB" w:rsidP="007C1D18">
      <w:pPr>
        <w:jc w:val="center"/>
        <w:rPr>
          <w:b/>
          <w:bCs/>
          <w:sz w:val="32"/>
          <w:szCs w:val="32"/>
          <w:lang w:val="en-US"/>
        </w:rPr>
      </w:pPr>
      <w:r w:rsidRPr="0092458B">
        <w:rPr>
          <w:b/>
          <w:sz w:val="32"/>
          <w:szCs w:val="32"/>
          <w:lang w:bidi="en-GB"/>
        </w:rPr>
        <w:t xml:space="preserve">Social policy in a future of degrowth? </w:t>
      </w:r>
    </w:p>
    <w:p w14:paraId="732E9BDC" w14:textId="2A127A59" w:rsidR="00716DB0" w:rsidRPr="0092458B" w:rsidRDefault="00EB06CB" w:rsidP="007C1D18">
      <w:pPr>
        <w:jc w:val="center"/>
        <w:rPr>
          <w:b/>
          <w:bCs/>
          <w:sz w:val="32"/>
          <w:szCs w:val="32"/>
          <w:lang w:val="en-US"/>
        </w:rPr>
      </w:pPr>
      <w:r w:rsidRPr="0092458B">
        <w:rPr>
          <w:b/>
          <w:sz w:val="32"/>
          <w:szCs w:val="32"/>
          <w:lang w:bidi="en-GB"/>
        </w:rPr>
        <w:t xml:space="preserve">Challenges for decommodification, </w:t>
      </w:r>
      <w:proofErr w:type="spellStart"/>
      <w:r w:rsidRPr="0092458B">
        <w:rPr>
          <w:b/>
          <w:sz w:val="32"/>
          <w:szCs w:val="32"/>
          <w:lang w:bidi="en-GB"/>
        </w:rPr>
        <w:t>commoning</w:t>
      </w:r>
      <w:proofErr w:type="spellEnd"/>
      <w:r w:rsidRPr="0092458B">
        <w:rPr>
          <w:b/>
          <w:sz w:val="32"/>
          <w:szCs w:val="32"/>
          <w:lang w:bidi="en-GB"/>
        </w:rPr>
        <w:t xml:space="preserve"> and public support</w:t>
      </w:r>
    </w:p>
    <w:p w14:paraId="166E173B" w14:textId="54A55EA2" w:rsidR="00A44A88" w:rsidRDefault="00A44A88" w:rsidP="007148FD">
      <w:pPr>
        <w:rPr>
          <w:b/>
          <w:bCs/>
          <w:sz w:val="24"/>
          <w:szCs w:val="24"/>
          <w:lang w:val="en-US"/>
        </w:rPr>
      </w:pPr>
    </w:p>
    <w:p w14:paraId="5D402769" w14:textId="0883981B" w:rsidR="007148FD" w:rsidRDefault="007148FD" w:rsidP="007148FD">
      <w:pPr>
        <w:rPr>
          <w:sz w:val="24"/>
          <w:szCs w:val="24"/>
          <w:lang w:val="en-US"/>
        </w:rPr>
      </w:pPr>
      <w:r>
        <w:rPr>
          <w:sz w:val="24"/>
          <w:szCs w:val="24"/>
          <w:lang w:val="en-US"/>
        </w:rPr>
        <w:t>Kristian Kongshøj</w:t>
      </w:r>
    </w:p>
    <w:p w14:paraId="6EA3776F" w14:textId="00433B78" w:rsidR="007148FD" w:rsidRDefault="007148FD" w:rsidP="007148FD">
      <w:pPr>
        <w:rPr>
          <w:sz w:val="24"/>
          <w:szCs w:val="24"/>
          <w:lang w:val="en-US"/>
        </w:rPr>
      </w:pPr>
      <w:r>
        <w:rPr>
          <w:sz w:val="24"/>
          <w:szCs w:val="24"/>
          <w:lang w:val="en-US"/>
        </w:rPr>
        <w:t>Associate professor, Ph.D.</w:t>
      </w:r>
    </w:p>
    <w:p w14:paraId="74615532" w14:textId="7F08B973" w:rsidR="007148FD" w:rsidRDefault="007148FD" w:rsidP="007148FD">
      <w:pPr>
        <w:rPr>
          <w:sz w:val="24"/>
          <w:szCs w:val="24"/>
          <w:lang w:val="en-US"/>
        </w:rPr>
      </w:pPr>
      <w:r>
        <w:rPr>
          <w:sz w:val="24"/>
          <w:szCs w:val="24"/>
          <w:lang w:val="en-US"/>
        </w:rPr>
        <w:t>Department of Politics and Society, Aalborg University, Denmark</w:t>
      </w:r>
    </w:p>
    <w:p w14:paraId="57B907E1" w14:textId="5BC86343" w:rsidR="007148FD" w:rsidRDefault="007148FD" w:rsidP="007148FD">
      <w:pPr>
        <w:rPr>
          <w:sz w:val="24"/>
          <w:szCs w:val="24"/>
          <w:lang w:val="en-US"/>
        </w:rPr>
      </w:pPr>
      <w:r>
        <w:rPr>
          <w:sz w:val="24"/>
          <w:szCs w:val="24"/>
          <w:lang w:val="en-US"/>
        </w:rPr>
        <w:t xml:space="preserve">Mail: </w:t>
      </w:r>
      <w:hyperlink r:id="rId8" w:history="1">
        <w:r w:rsidRPr="00640E5B">
          <w:rPr>
            <w:rStyle w:val="Hyperlink"/>
            <w:sz w:val="24"/>
            <w:szCs w:val="24"/>
            <w:lang w:val="en-US"/>
          </w:rPr>
          <w:t>kongshoj@dps.aau.dk</w:t>
        </w:r>
      </w:hyperlink>
    </w:p>
    <w:p w14:paraId="436014F4" w14:textId="77777777" w:rsidR="007148FD" w:rsidRPr="0092458B" w:rsidRDefault="007148FD" w:rsidP="008E781B">
      <w:pPr>
        <w:rPr>
          <w:b/>
          <w:bCs/>
          <w:sz w:val="24"/>
          <w:szCs w:val="24"/>
          <w:lang w:val="en-US"/>
        </w:rPr>
      </w:pPr>
    </w:p>
    <w:p w14:paraId="3E1CBC6B" w14:textId="4256BE50" w:rsidR="00CD3EF9" w:rsidRPr="0092458B" w:rsidRDefault="00CD3EF9" w:rsidP="00D8112B">
      <w:pPr>
        <w:spacing w:line="360" w:lineRule="auto"/>
        <w:rPr>
          <w:sz w:val="24"/>
          <w:szCs w:val="24"/>
          <w:lang w:val="en-US"/>
        </w:rPr>
      </w:pPr>
      <w:r w:rsidRPr="0092458B">
        <w:rPr>
          <w:b/>
          <w:sz w:val="24"/>
          <w:szCs w:val="24"/>
          <w:lang w:bidi="en-GB"/>
        </w:rPr>
        <w:t xml:space="preserve">Abstract: </w:t>
      </w:r>
      <w:r w:rsidRPr="0092458B">
        <w:rPr>
          <w:sz w:val="24"/>
          <w:szCs w:val="24"/>
          <w:lang w:bidi="en-GB"/>
        </w:rPr>
        <w:t xml:space="preserve">Achieving sustainability within planetary boundaries requires radical changes to production and consumption beyond technology- and efficiency-oriented solutions, especially in affluent countries. The literature on degrowth offers visions and policy paths with the explicit aim of ensuring human wellbeing within an economy with a lower resource metabolism. This paper reviews and discusses the academic literature on degrowth with the aim of deriving the main inherent challenges where further research is needed.  Proponents of degrowth envisage radical redistribution and decommodification with ‘floors’ and ‘ceilings’ for income and wealth, as well as extensive public service provision. This paper outlines how results from other research support such a policy direction. However, the paper discusses three inherent challenges for such a future with respect to the feasibility and desirability of degrowth policies, as well as their legitimate underpinning in public support. This includes the internal growth dependencies of established social policies, which require changes to financing, output-based </w:t>
      </w:r>
      <w:proofErr w:type="gramStart"/>
      <w:r w:rsidRPr="0092458B">
        <w:rPr>
          <w:sz w:val="24"/>
          <w:szCs w:val="24"/>
          <w:lang w:bidi="en-GB"/>
        </w:rPr>
        <w:t>management</w:t>
      </w:r>
      <w:proofErr w:type="gramEnd"/>
      <w:r w:rsidRPr="0092458B">
        <w:rPr>
          <w:sz w:val="24"/>
          <w:szCs w:val="24"/>
          <w:lang w:bidi="en-GB"/>
        </w:rPr>
        <w:t xml:space="preserve"> and perhaps even curtailing input (service demand). Secondly, it concerns the role of public welfare provision when degrowth advocates also envisage the proliferation of alternative and informal economies. The paper emphasises that these two challenges invite more </w:t>
      </w:r>
      <w:r w:rsidR="00C00707" w:rsidRPr="0092458B">
        <w:rPr>
          <w:sz w:val="24"/>
          <w:szCs w:val="24"/>
          <w:lang w:bidi="en-GB"/>
        </w:rPr>
        <w:t>work o</w:t>
      </w:r>
      <w:r w:rsidRPr="0092458B">
        <w:rPr>
          <w:sz w:val="24"/>
          <w:szCs w:val="24"/>
          <w:lang w:bidi="en-GB"/>
        </w:rPr>
        <w:t xml:space="preserve">n where public service provision should play a lesser role. Thirdly, the paper covers popular legitimacy. In affluent democracies, popular support needs to expand further beyond the ‘new left’ or the ‘green left’, even if larger shares of the population exhibit some potential for growth-critical stances. At the heart of these challenges is the need for new norms and values with respect to wellbeing, which is envisaged in the literature as a shift from materialist and hedonic towards needs-oriented and </w:t>
      </w:r>
      <w:proofErr w:type="spellStart"/>
      <w:r w:rsidRPr="0092458B">
        <w:rPr>
          <w:sz w:val="24"/>
          <w:szCs w:val="24"/>
          <w:lang w:bidi="en-GB"/>
        </w:rPr>
        <w:t>eudaimonic</w:t>
      </w:r>
      <w:proofErr w:type="spellEnd"/>
      <w:r w:rsidRPr="0092458B">
        <w:rPr>
          <w:sz w:val="24"/>
          <w:szCs w:val="24"/>
          <w:lang w:bidi="en-GB"/>
        </w:rPr>
        <w:t xml:space="preserve"> conceptions of wellbeing and happiness.     </w:t>
      </w:r>
    </w:p>
    <w:p w14:paraId="13F429E4" w14:textId="75EB758E" w:rsidR="00C14399" w:rsidRPr="0092458B" w:rsidRDefault="00C14399" w:rsidP="00D8112B">
      <w:pPr>
        <w:spacing w:line="360" w:lineRule="auto"/>
        <w:rPr>
          <w:b/>
          <w:bCs/>
          <w:sz w:val="28"/>
          <w:szCs w:val="28"/>
          <w:lang w:val="en-US"/>
        </w:rPr>
      </w:pPr>
      <w:r w:rsidRPr="0092458B">
        <w:rPr>
          <w:b/>
          <w:sz w:val="28"/>
          <w:szCs w:val="28"/>
          <w:lang w:bidi="en-GB"/>
        </w:rPr>
        <w:lastRenderedPageBreak/>
        <w:t>Introduction</w:t>
      </w:r>
    </w:p>
    <w:p w14:paraId="09AB7775" w14:textId="340B1200" w:rsidR="005804CE" w:rsidRPr="0092458B" w:rsidRDefault="00012528" w:rsidP="0052011E">
      <w:pPr>
        <w:spacing w:line="360" w:lineRule="auto"/>
        <w:rPr>
          <w:iCs/>
          <w:sz w:val="24"/>
          <w:szCs w:val="24"/>
          <w:lang w:val="en-US"/>
        </w:rPr>
      </w:pPr>
      <w:r w:rsidRPr="0092458B">
        <w:rPr>
          <w:rFonts w:ascii="Calibri" w:eastAsia="Calibri" w:hAnsi="Calibri" w:cs="Calibri"/>
          <w:sz w:val="24"/>
          <w:szCs w:val="24"/>
          <w:lang w:bidi="en-GB"/>
        </w:rPr>
        <w:t xml:space="preserve">Considering the planetary crises with respect to climate change, the mass extinction of species and the general degradation and depletion of the biosphere (see for instance IPCC, 2022; </w:t>
      </w:r>
      <w:proofErr w:type="spellStart"/>
      <w:r w:rsidRPr="0092458B">
        <w:rPr>
          <w:rFonts w:ascii="Calibri" w:eastAsia="Calibri" w:hAnsi="Calibri" w:cs="Calibri"/>
          <w:sz w:val="24"/>
          <w:szCs w:val="24"/>
          <w:lang w:bidi="en-GB"/>
        </w:rPr>
        <w:t>Jaureguiberry</w:t>
      </w:r>
      <w:proofErr w:type="spellEnd"/>
      <w:r w:rsidRPr="0092458B">
        <w:rPr>
          <w:rFonts w:ascii="Calibri" w:eastAsia="Calibri" w:hAnsi="Calibri" w:cs="Calibri"/>
          <w:sz w:val="24"/>
          <w:szCs w:val="24"/>
          <w:lang w:bidi="en-GB"/>
        </w:rPr>
        <w:t xml:space="preserve"> et al., 2022; Obura et al., 2022; Hagens, 2020; IPBES, 2019), it is no longer controversial to say that sustainability goes far beyond the implementation of new technologies and increased resource efficiency. More fundamental changes to both consumption and production are needed, especially in affluent economies. As a prominent example of more radical language, UN Secretary-General António Guterres has repeatedly delivered strong calls for action, stating at COP15 in Montreal in late 2022, </w:t>
      </w:r>
      <w:r w:rsidR="00E16252" w:rsidRPr="0092458B">
        <w:rPr>
          <w:rFonts w:ascii="Calibri" w:eastAsia="Calibri" w:hAnsi="Calibri" w:cs="Calibri"/>
          <w:i/>
          <w:sz w:val="24"/>
          <w:szCs w:val="24"/>
          <w:lang w:bidi="en-GB"/>
        </w:rPr>
        <w:t>“</w:t>
      </w:r>
      <w:r w:rsidR="00B2227D" w:rsidRPr="0092458B">
        <w:rPr>
          <w:rFonts w:ascii="Calibri" w:eastAsia="Calibri" w:hAnsi="Calibri" w:cs="Calibri"/>
          <w:i/>
          <w:sz w:val="24"/>
          <w:szCs w:val="24"/>
          <w:shd w:val="clear" w:color="auto" w:fill="FFFFFF"/>
          <w:lang w:bidi="en-GB"/>
        </w:rPr>
        <w:t>With our bottomless appetite for unchecked and unequal economic growth, humanity has become a weapon of mass extinction…</w:t>
      </w:r>
      <w:r w:rsidR="00B60DF2" w:rsidRPr="0092458B">
        <w:rPr>
          <w:rFonts w:ascii="Calibri" w:eastAsia="Calibri" w:hAnsi="Calibri" w:cs="Calibri"/>
          <w:i/>
          <w:sz w:val="24"/>
          <w:szCs w:val="24"/>
          <w:lang w:bidi="en-GB"/>
        </w:rPr>
        <w:t xml:space="preserve"> </w:t>
      </w:r>
      <w:r w:rsidR="00F60A5D" w:rsidRPr="0092458B">
        <w:rPr>
          <w:rFonts w:ascii="Calibri" w:eastAsia="Calibri" w:hAnsi="Calibri" w:cs="Calibri"/>
          <w:i/>
          <w:sz w:val="24"/>
          <w:szCs w:val="24"/>
          <w:shd w:val="clear" w:color="auto" w:fill="FFFFFF"/>
          <w:lang w:bidi="en-GB"/>
        </w:rPr>
        <w:t>ultimately, we are committing suicide by proxy”</w:t>
      </w:r>
      <w:r w:rsidR="00F60A5D" w:rsidRPr="0092458B">
        <w:rPr>
          <w:rFonts w:ascii="Calibri" w:eastAsia="Calibri" w:hAnsi="Calibri" w:cs="Calibri"/>
          <w:sz w:val="24"/>
          <w:szCs w:val="24"/>
          <w:shd w:val="clear" w:color="auto" w:fill="FFFFFF"/>
          <w:lang w:bidi="en-GB"/>
        </w:rPr>
        <w:t xml:space="preserve"> (United Nations, 2022). </w:t>
      </w:r>
      <w:r w:rsidR="00F60A5D" w:rsidRPr="0092458B">
        <w:rPr>
          <w:rFonts w:ascii="Calibri" w:eastAsia="Calibri" w:hAnsi="Calibri" w:cs="Calibri"/>
          <w:sz w:val="24"/>
          <w:szCs w:val="24"/>
          <w:shd w:val="clear" w:color="auto" w:fill="FFFFFF"/>
          <w:lang w:bidi="en-GB"/>
        </w:rPr>
        <w:tab/>
      </w:r>
      <w:r w:rsidR="00F60A5D" w:rsidRPr="0092458B">
        <w:rPr>
          <w:rFonts w:ascii="Calibri" w:eastAsia="Calibri" w:hAnsi="Calibri" w:cs="Calibri"/>
          <w:sz w:val="24"/>
          <w:szCs w:val="24"/>
          <w:shd w:val="clear" w:color="auto" w:fill="FFFFFF"/>
          <w:lang w:bidi="en-GB"/>
        </w:rPr>
        <w:tab/>
      </w:r>
      <w:r w:rsidR="00F60A5D" w:rsidRPr="0092458B">
        <w:rPr>
          <w:rFonts w:ascii="Calibri" w:eastAsia="Calibri" w:hAnsi="Calibri" w:cs="Calibri"/>
          <w:sz w:val="24"/>
          <w:szCs w:val="24"/>
          <w:shd w:val="clear" w:color="auto" w:fill="FFFFFF"/>
          <w:lang w:bidi="en-GB"/>
        </w:rPr>
        <w:tab/>
      </w:r>
      <w:r w:rsidR="00F60A5D" w:rsidRPr="0092458B">
        <w:rPr>
          <w:rFonts w:ascii="Calibri" w:eastAsia="Calibri" w:hAnsi="Calibri" w:cs="Calibri"/>
          <w:sz w:val="24"/>
          <w:szCs w:val="24"/>
          <w:shd w:val="clear" w:color="auto" w:fill="FFFFFF"/>
          <w:lang w:bidi="en-GB"/>
        </w:rPr>
        <w:tab/>
      </w:r>
      <w:r w:rsidR="00F60A5D" w:rsidRPr="0092458B">
        <w:rPr>
          <w:rFonts w:ascii="Calibri" w:eastAsia="Calibri" w:hAnsi="Calibri" w:cs="Calibri"/>
          <w:sz w:val="24"/>
          <w:szCs w:val="24"/>
          <w:shd w:val="clear" w:color="auto" w:fill="FFFFFF"/>
          <w:lang w:bidi="en-GB"/>
        </w:rPr>
        <w:tab/>
        <w:t xml:space="preserve">By reviewing and discussing the academic literature on ‘degrowth’, the aim of this paper is to derive the main inherent challenges where further </w:t>
      </w:r>
      <w:r w:rsidR="00870F8C">
        <w:rPr>
          <w:rFonts w:ascii="Calibri" w:eastAsia="Calibri" w:hAnsi="Calibri" w:cs="Calibri"/>
          <w:sz w:val="24"/>
          <w:szCs w:val="24"/>
          <w:shd w:val="clear" w:color="auto" w:fill="FFFFFF"/>
          <w:lang w:bidi="en-GB"/>
        </w:rPr>
        <w:t>thinking</w:t>
      </w:r>
      <w:r w:rsidR="00F60A5D" w:rsidRPr="0092458B">
        <w:rPr>
          <w:rFonts w:ascii="Calibri" w:eastAsia="Calibri" w:hAnsi="Calibri" w:cs="Calibri"/>
          <w:sz w:val="24"/>
          <w:szCs w:val="24"/>
          <w:shd w:val="clear" w:color="auto" w:fill="FFFFFF"/>
          <w:lang w:bidi="en-GB"/>
        </w:rPr>
        <w:t xml:space="preserve"> and research are needed. These challenges or inherent tensions concern the feasibility and desirability of social policies based on degrowth. Arguments and empirical research support the need for greater equality and public decommodification, yet barriers or challenges may also be intensified in a political economy of degrowth. The main argument of the paper is that current and future </w:t>
      </w:r>
      <w:r w:rsidR="00BC698D">
        <w:rPr>
          <w:rFonts w:ascii="Calibri" w:eastAsia="Calibri" w:hAnsi="Calibri" w:cs="Calibri"/>
          <w:sz w:val="24"/>
          <w:szCs w:val="24"/>
          <w:shd w:val="clear" w:color="auto" w:fill="FFFFFF"/>
          <w:lang w:bidi="en-GB"/>
        </w:rPr>
        <w:t>research</w:t>
      </w:r>
      <w:r w:rsidR="00F60A5D" w:rsidRPr="0092458B">
        <w:rPr>
          <w:rFonts w:ascii="Calibri" w:eastAsia="Calibri" w:hAnsi="Calibri" w:cs="Calibri"/>
          <w:sz w:val="24"/>
          <w:szCs w:val="24"/>
          <w:shd w:val="clear" w:color="auto" w:fill="FFFFFF"/>
          <w:lang w:bidi="en-GB"/>
        </w:rPr>
        <w:t xml:space="preserve"> </w:t>
      </w:r>
      <w:r w:rsidR="00C0749D" w:rsidRPr="0092458B">
        <w:rPr>
          <w:rFonts w:ascii="Calibri" w:eastAsia="Calibri" w:hAnsi="Calibri" w:cs="Calibri"/>
          <w:sz w:val="24"/>
          <w:szCs w:val="24"/>
          <w:shd w:val="clear" w:color="auto" w:fill="FFFFFF"/>
          <w:lang w:bidi="en-GB"/>
        </w:rPr>
        <w:t>should</w:t>
      </w:r>
      <w:r w:rsidR="00F60A5D" w:rsidRPr="0092458B">
        <w:rPr>
          <w:rFonts w:ascii="Calibri" w:eastAsia="Calibri" w:hAnsi="Calibri" w:cs="Calibri"/>
          <w:sz w:val="24"/>
          <w:szCs w:val="24"/>
          <w:shd w:val="clear" w:color="auto" w:fill="FFFFFF"/>
          <w:lang w:bidi="en-GB"/>
        </w:rPr>
        <w:t xml:space="preserve"> focus on the potential limits for public decommodification or formal welfare provision. The paper substantiates these challenges by bringing in relevant literature and studies on the link between social policy, </w:t>
      </w:r>
      <w:proofErr w:type="gramStart"/>
      <w:r w:rsidR="00F60A5D" w:rsidRPr="0092458B">
        <w:rPr>
          <w:rFonts w:ascii="Calibri" w:eastAsia="Calibri" w:hAnsi="Calibri" w:cs="Calibri"/>
          <w:sz w:val="24"/>
          <w:szCs w:val="24"/>
          <w:shd w:val="clear" w:color="auto" w:fill="FFFFFF"/>
          <w:lang w:bidi="en-GB"/>
        </w:rPr>
        <w:t>inequality</w:t>
      </w:r>
      <w:proofErr w:type="gramEnd"/>
      <w:r w:rsidR="00F60A5D" w:rsidRPr="0092458B">
        <w:rPr>
          <w:rFonts w:ascii="Calibri" w:eastAsia="Calibri" w:hAnsi="Calibri" w:cs="Calibri"/>
          <w:sz w:val="24"/>
          <w:szCs w:val="24"/>
          <w:shd w:val="clear" w:color="auto" w:fill="FFFFFF"/>
          <w:lang w:bidi="en-GB"/>
        </w:rPr>
        <w:t xml:space="preserve"> and sustainability, as well as the dynamics of public attitude formation.</w:t>
      </w:r>
      <w:r w:rsidR="00F60A5D" w:rsidRPr="0092458B">
        <w:rPr>
          <w:rFonts w:ascii="Calibri" w:eastAsia="Calibri" w:hAnsi="Calibri" w:cs="Calibri"/>
          <w:sz w:val="24"/>
          <w:szCs w:val="24"/>
          <w:shd w:val="clear" w:color="auto" w:fill="FFFFFF"/>
          <w:lang w:bidi="en-GB"/>
        </w:rPr>
        <w:tab/>
        <w:t xml:space="preserve">There has been a surge in literature and research on degrowth that explicitly seeks to address human wellbeing through a societal transformation towards sustainability. However, there are some inherent tensions with room for more critical discussion on the challenges of social policymaking in such a future (see Walker, Druckman &amp; Jackson (2021) and Bailey (2015) with respect to fiscal viability and other growth dependencies of affluent welfare states). </w:t>
      </w:r>
      <w:r w:rsidR="00F60A5D" w:rsidRPr="0092458B">
        <w:rPr>
          <w:rFonts w:ascii="Calibri" w:eastAsia="Calibri" w:hAnsi="Calibri" w:cs="Calibri"/>
          <w:sz w:val="24"/>
          <w:szCs w:val="24"/>
          <w:shd w:val="clear" w:color="auto" w:fill="FFFFFF"/>
          <w:lang w:bidi="en-GB"/>
        </w:rPr>
        <w:tab/>
      </w:r>
      <w:r w:rsidR="00F60A5D" w:rsidRPr="0092458B">
        <w:rPr>
          <w:rFonts w:ascii="Calibri" w:eastAsia="Calibri" w:hAnsi="Calibri" w:cs="Calibri"/>
          <w:sz w:val="24"/>
          <w:szCs w:val="24"/>
          <w:shd w:val="clear" w:color="auto" w:fill="FFFFFF"/>
          <w:lang w:bidi="en-GB"/>
        </w:rPr>
        <w:tab/>
        <w:t xml:space="preserve">Degrowth may be understood as a concept, research field, social movement or an ‘activist-led science’ that has for decades discussed what it would entail to place the pursuit of a reduction in throughput or resource ‘metabolism’ front and centre of a vision for the future, rather than as a supplement to the technology- and efficiency-oriented policies that dominate the established ‘green growth’ </w:t>
      </w:r>
      <w:r w:rsidR="00B55A5C" w:rsidRPr="0092458B">
        <w:rPr>
          <w:rFonts w:ascii="Calibri" w:eastAsia="Calibri" w:hAnsi="Calibri" w:cs="Calibri"/>
          <w:sz w:val="24"/>
          <w:szCs w:val="24"/>
          <w:shd w:val="clear" w:color="auto" w:fill="FFFFFF"/>
          <w:lang w:bidi="en-GB"/>
        </w:rPr>
        <w:t xml:space="preserve">paradigm (Buch-Hansen &amp; Nesterova, 2023; </w:t>
      </w:r>
      <w:r w:rsidR="00B55A5C" w:rsidRPr="0092458B">
        <w:rPr>
          <w:sz w:val="24"/>
          <w:szCs w:val="24"/>
          <w:lang w:bidi="en-GB"/>
        </w:rPr>
        <w:t xml:space="preserve">Schmelzer, Vetter &amp; </w:t>
      </w:r>
      <w:proofErr w:type="spellStart"/>
      <w:r w:rsidR="00B55A5C" w:rsidRPr="0092458B">
        <w:rPr>
          <w:sz w:val="24"/>
          <w:szCs w:val="24"/>
          <w:lang w:bidi="en-GB"/>
        </w:rPr>
        <w:lastRenderedPageBreak/>
        <w:t>Vansintjan</w:t>
      </w:r>
      <w:proofErr w:type="spellEnd"/>
      <w:r w:rsidR="00B55A5C" w:rsidRPr="0092458B">
        <w:rPr>
          <w:sz w:val="24"/>
          <w:szCs w:val="24"/>
          <w:lang w:bidi="en-GB"/>
        </w:rPr>
        <w:t xml:space="preserve">, 2022; Schulken et al., 2022; Hickel, 2021, 2020; </w:t>
      </w:r>
      <w:proofErr w:type="spellStart"/>
      <w:r w:rsidR="00B55A5C" w:rsidRPr="0092458B">
        <w:rPr>
          <w:sz w:val="24"/>
          <w:szCs w:val="24"/>
          <w:lang w:bidi="en-GB"/>
        </w:rPr>
        <w:t>Parrique</w:t>
      </w:r>
      <w:proofErr w:type="spellEnd"/>
      <w:r w:rsidR="00B55A5C" w:rsidRPr="0092458B">
        <w:rPr>
          <w:sz w:val="24"/>
          <w:szCs w:val="24"/>
          <w:lang w:bidi="en-GB"/>
        </w:rPr>
        <w:t>, 2019; Kallis et al., 2018)</w:t>
      </w:r>
      <w:r w:rsidR="001222B1">
        <w:rPr>
          <w:rFonts w:ascii="Calibri" w:eastAsia="Calibri" w:hAnsi="Calibri" w:cs="Calibri"/>
          <w:sz w:val="24"/>
          <w:szCs w:val="24"/>
          <w:shd w:val="clear" w:color="auto" w:fill="FFFFFF"/>
          <w:lang w:bidi="en-GB"/>
        </w:rPr>
        <w:t xml:space="preserve">. Degrowth as a concept is strongly related to the notion of wellbeing economies guided by more diverse social aims rather than continued material growth, and both concepts depart from growth critiques (Fioramonti et. al. 2022; </w:t>
      </w:r>
      <w:proofErr w:type="spellStart"/>
      <w:r w:rsidR="001222B1">
        <w:rPr>
          <w:rFonts w:ascii="Calibri" w:eastAsia="Calibri" w:hAnsi="Calibri" w:cs="Calibri"/>
          <w:sz w:val="24"/>
          <w:szCs w:val="24"/>
          <w:shd w:val="clear" w:color="auto" w:fill="FFFFFF"/>
          <w:lang w:bidi="en-GB"/>
        </w:rPr>
        <w:t>Büchs</w:t>
      </w:r>
      <w:proofErr w:type="spellEnd"/>
      <w:r w:rsidR="001222B1">
        <w:rPr>
          <w:rFonts w:ascii="Calibri" w:eastAsia="Calibri" w:hAnsi="Calibri" w:cs="Calibri"/>
          <w:sz w:val="24"/>
          <w:szCs w:val="24"/>
          <w:shd w:val="clear" w:color="auto" w:fill="FFFFFF"/>
          <w:lang w:bidi="en-GB"/>
        </w:rPr>
        <w:t xml:space="preserve"> &amp; Koch 2019). Degrowth can perhaps be understood as a particular conception of the road towards a wellbeing economy, one that has a more explicit foundation in ecological economics, whereas the notion of a wellbeing economy with broader, multidimensional aims is more approachable for established actors in contemporary politics (Fioramonti et. al. 2022) </w:t>
      </w:r>
      <w:r w:rsidR="001222B1">
        <w:rPr>
          <w:rFonts w:ascii="Calibri" w:eastAsia="Calibri" w:hAnsi="Calibri" w:cs="Calibri"/>
          <w:sz w:val="24"/>
          <w:szCs w:val="24"/>
          <w:shd w:val="clear" w:color="auto" w:fill="FFFFFF"/>
          <w:lang w:bidi="en-GB"/>
        </w:rPr>
        <w:tab/>
      </w:r>
      <w:r w:rsidR="00F247B6">
        <w:rPr>
          <w:rFonts w:ascii="Calibri" w:eastAsia="Calibri" w:hAnsi="Calibri" w:cs="Calibri"/>
          <w:sz w:val="24"/>
          <w:szCs w:val="24"/>
          <w:shd w:val="clear" w:color="auto" w:fill="FFFFFF"/>
          <w:lang w:bidi="en-GB"/>
        </w:rPr>
        <w:tab/>
      </w:r>
      <w:r w:rsidR="00F247B6">
        <w:rPr>
          <w:rFonts w:ascii="Calibri" w:eastAsia="Calibri" w:hAnsi="Calibri" w:cs="Calibri"/>
          <w:sz w:val="24"/>
          <w:szCs w:val="24"/>
          <w:shd w:val="clear" w:color="auto" w:fill="FFFFFF"/>
          <w:lang w:bidi="en-GB"/>
        </w:rPr>
        <w:tab/>
      </w:r>
      <w:r w:rsidR="00F247B6">
        <w:rPr>
          <w:rFonts w:ascii="Calibri" w:eastAsia="Calibri" w:hAnsi="Calibri" w:cs="Calibri"/>
          <w:sz w:val="24"/>
          <w:szCs w:val="24"/>
          <w:shd w:val="clear" w:color="auto" w:fill="FFFFFF"/>
          <w:lang w:bidi="en-GB"/>
        </w:rPr>
        <w:tab/>
      </w:r>
      <w:r w:rsidR="00F247B6">
        <w:rPr>
          <w:rFonts w:ascii="Calibri" w:eastAsia="Calibri" w:hAnsi="Calibri" w:cs="Calibri"/>
          <w:sz w:val="24"/>
          <w:szCs w:val="24"/>
          <w:shd w:val="clear" w:color="auto" w:fill="FFFFFF"/>
          <w:lang w:bidi="en-GB"/>
        </w:rPr>
        <w:tab/>
      </w:r>
      <w:r w:rsidR="00F247B6">
        <w:rPr>
          <w:rFonts w:ascii="Calibri" w:eastAsia="Calibri" w:hAnsi="Calibri" w:cs="Calibri"/>
          <w:sz w:val="24"/>
          <w:szCs w:val="24"/>
          <w:shd w:val="clear" w:color="auto" w:fill="FFFFFF"/>
          <w:lang w:bidi="en-GB"/>
        </w:rPr>
        <w:tab/>
      </w:r>
      <w:r w:rsidR="00A97735">
        <w:rPr>
          <w:rFonts w:ascii="Calibri" w:eastAsia="Calibri" w:hAnsi="Calibri" w:cs="Calibri"/>
          <w:sz w:val="24"/>
          <w:szCs w:val="24"/>
          <w:shd w:val="clear" w:color="auto" w:fill="FFFFFF"/>
          <w:lang w:bidi="en-GB"/>
        </w:rPr>
        <w:tab/>
      </w:r>
      <w:r w:rsidR="00FC444E" w:rsidRPr="0092458B">
        <w:rPr>
          <w:rFonts w:ascii="Calibri" w:eastAsia="Calibri" w:hAnsi="Calibri" w:cs="Calibri"/>
          <w:sz w:val="24"/>
          <w:szCs w:val="24"/>
          <w:shd w:val="clear" w:color="auto" w:fill="FFFFFF"/>
          <w:lang w:bidi="en-GB"/>
        </w:rPr>
        <w:t>The paper aims to engage readers who are well-versed in the literature, as well as those less familiar with the topics covered. For the first group, the paper aims to condense the recent literature on degrowth and sustainability transformations and highlight the three challenges that particularly require further research and consideration. For the latter group of readers, the paper seeks to provide an up-to-date overview of the main policy ideas in the literature, as well as emphasising that the foundation in ecological economics must be taken more seriously by mainstream political science (i.e., addressing policy implications of the need to radically reduce the resource throughput of affluent economies).</w:t>
      </w:r>
      <w:r w:rsidR="0028543A">
        <w:rPr>
          <w:sz w:val="24"/>
          <w:szCs w:val="24"/>
          <w:lang w:bidi="en-GB"/>
        </w:rPr>
        <w:t xml:space="preserve"> </w:t>
      </w:r>
      <w:r w:rsidR="00B55A5C" w:rsidRPr="0092458B">
        <w:rPr>
          <w:sz w:val="24"/>
          <w:szCs w:val="24"/>
          <w:lang w:bidi="en-GB"/>
        </w:rPr>
        <w:t>The paper establishes a definition of degrowth and traces its origins in a fusion of ecological economics</w:t>
      </w:r>
      <w:r w:rsidR="0034431C" w:rsidRPr="0092458B">
        <w:rPr>
          <w:rFonts w:ascii="Calibri" w:eastAsia="Calibri" w:hAnsi="Calibri" w:cs="Calibri"/>
          <w:sz w:val="24"/>
          <w:szCs w:val="24"/>
          <w:shd w:val="clear" w:color="auto" w:fill="FFFFFF"/>
          <w:lang w:bidi="en-GB"/>
        </w:rPr>
        <w:t xml:space="preserve"> and normative growth critiques rooted in critical theory, as well as the policies and visions offered by the literature.  </w:t>
      </w:r>
      <w:r w:rsidR="00B55A5C" w:rsidRPr="0092458B">
        <w:rPr>
          <w:sz w:val="24"/>
          <w:szCs w:val="24"/>
          <w:lang w:bidi="en-GB"/>
        </w:rPr>
        <w:t xml:space="preserve">While greater equality and strong social policies are needed to achieve human wellbeing within planetary boundaries, this paper goes on to derive three inherent tensions or challenges with respect to the viability of such policies in a new political economy. These challenges follow from the growth dependencies of established welfare states. </w:t>
      </w:r>
      <w:r w:rsidR="0054693A" w:rsidRPr="0092458B">
        <w:rPr>
          <w:rFonts w:ascii="Calibri" w:eastAsia="Calibri" w:hAnsi="Calibri" w:cs="Calibri"/>
          <w:sz w:val="24"/>
          <w:szCs w:val="24"/>
          <w:shd w:val="clear" w:color="auto" w:fill="FFFFFF"/>
          <w:lang w:bidi="en-GB"/>
        </w:rPr>
        <w:tab/>
      </w:r>
      <w:r w:rsidR="0054693A" w:rsidRPr="0092458B">
        <w:rPr>
          <w:rFonts w:ascii="Calibri" w:eastAsia="Calibri" w:hAnsi="Calibri" w:cs="Calibri"/>
          <w:sz w:val="24"/>
          <w:szCs w:val="24"/>
          <w:shd w:val="clear" w:color="auto" w:fill="FFFFFF"/>
          <w:lang w:bidi="en-GB"/>
        </w:rPr>
        <w:tab/>
      </w:r>
      <w:r w:rsidR="0054693A" w:rsidRPr="0092458B">
        <w:rPr>
          <w:rFonts w:ascii="Calibri" w:eastAsia="Calibri" w:hAnsi="Calibri" w:cs="Calibri"/>
          <w:sz w:val="24"/>
          <w:szCs w:val="24"/>
          <w:shd w:val="clear" w:color="auto" w:fill="FFFFFF"/>
          <w:lang w:bidi="en-GB"/>
        </w:rPr>
        <w:tab/>
        <w:t xml:space="preserve">The first challenge concerns strongly </w:t>
      </w:r>
      <w:proofErr w:type="spellStart"/>
      <w:r w:rsidR="0054693A" w:rsidRPr="0092458B">
        <w:rPr>
          <w:rFonts w:ascii="Calibri" w:eastAsia="Calibri" w:hAnsi="Calibri" w:cs="Calibri"/>
          <w:sz w:val="24"/>
          <w:szCs w:val="24"/>
          <w:shd w:val="clear" w:color="auto" w:fill="FFFFFF"/>
          <w:lang w:bidi="en-GB"/>
        </w:rPr>
        <w:t>decommodifying</w:t>
      </w:r>
      <w:proofErr w:type="spellEnd"/>
      <w:r w:rsidR="0054693A" w:rsidRPr="0092458B">
        <w:rPr>
          <w:rFonts w:ascii="Calibri" w:eastAsia="Calibri" w:hAnsi="Calibri" w:cs="Calibri"/>
          <w:sz w:val="24"/>
          <w:szCs w:val="24"/>
          <w:shd w:val="clear" w:color="auto" w:fill="FFFFFF"/>
          <w:lang w:bidi="en-GB"/>
        </w:rPr>
        <w:t xml:space="preserve"> and redistributive social policies, i.e., both ‘ceilings’ and ‘floors’ in terms of wealth and income, as well as an expansion of public </w:t>
      </w:r>
      <w:r w:rsidR="000B6B85" w:rsidRPr="0092458B">
        <w:rPr>
          <w:rFonts w:ascii="Calibri" w:eastAsia="Calibri" w:hAnsi="Calibri" w:cs="Calibri"/>
          <w:sz w:val="24"/>
          <w:szCs w:val="24"/>
          <w:shd w:val="clear" w:color="auto" w:fill="FFFFFF"/>
          <w:lang w:bidi="en-GB"/>
        </w:rPr>
        <w:t>services (</w:t>
      </w:r>
      <w:r w:rsidR="00B55A5C" w:rsidRPr="0092458B">
        <w:rPr>
          <w:sz w:val="24"/>
          <w:szCs w:val="24"/>
          <w:lang w:bidi="en-GB"/>
        </w:rPr>
        <w:t xml:space="preserve">McGann &amp; Murphy, 2023; </w:t>
      </w:r>
      <w:r w:rsidR="007A5460" w:rsidRPr="0092458B">
        <w:rPr>
          <w:rFonts w:ascii="Calibri" w:eastAsia="Calibri" w:hAnsi="Calibri" w:cs="Calibri"/>
          <w:sz w:val="24"/>
          <w:szCs w:val="24"/>
          <w:shd w:val="clear" w:color="auto" w:fill="FFFFFF"/>
          <w:lang w:bidi="en-GB"/>
        </w:rPr>
        <w:t xml:space="preserve">Fitzpatrick, </w:t>
      </w:r>
      <w:proofErr w:type="spellStart"/>
      <w:r w:rsidR="007A5460" w:rsidRPr="0092458B">
        <w:rPr>
          <w:rFonts w:ascii="Calibri" w:eastAsia="Calibri" w:hAnsi="Calibri" w:cs="Calibri"/>
          <w:sz w:val="24"/>
          <w:szCs w:val="24"/>
          <w:shd w:val="clear" w:color="auto" w:fill="FFFFFF"/>
          <w:lang w:bidi="en-GB"/>
        </w:rPr>
        <w:t>Parrique</w:t>
      </w:r>
      <w:proofErr w:type="spellEnd"/>
      <w:r w:rsidR="007A5460" w:rsidRPr="0092458B">
        <w:rPr>
          <w:rFonts w:ascii="Calibri" w:eastAsia="Calibri" w:hAnsi="Calibri" w:cs="Calibri"/>
          <w:sz w:val="24"/>
          <w:szCs w:val="24"/>
          <w:shd w:val="clear" w:color="auto" w:fill="FFFFFF"/>
          <w:lang w:bidi="en-GB"/>
        </w:rPr>
        <w:t xml:space="preserve"> &amp; Cosme, 2022</w:t>
      </w:r>
      <w:r w:rsidR="00B55A5C" w:rsidRPr="0092458B">
        <w:rPr>
          <w:sz w:val="24"/>
          <w:szCs w:val="24"/>
          <w:lang w:bidi="en-GB"/>
        </w:rPr>
        <w:t xml:space="preserve">; Coote, 2022; Gough, 2022; </w:t>
      </w:r>
      <w:proofErr w:type="spellStart"/>
      <w:r w:rsidR="00B55A5C" w:rsidRPr="0092458B">
        <w:rPr>
          <w:sz w:val="24"/>
          <w:szCs w:val="24"/>
          <w:lang w:bidi="en-GB"/>
        </w:rPr>
        <w:t>Büchs</w:t>
      </w:r>
      <w:proofErr w:type="spellEnd"/>
      <w:r w:rsidR="00B55A5C" w:rsidRPr="0092458B">
        <w:rPr>
          <w:sz w:val="24"/>
          <w:szCs w:val="24"/>
          <w:lang w:bidi="en-GB"/>
        </w:rPr>
        <w:t xml:space="preserve">, 2021; Koch, 2021; Walker, Druckman &amp; Jackson, 2021; </w:t>
      </w:r>
      <w:proofErr w:type="spellStart"/>
      <w:r w:rsidR="00B55A5C" w:rsidRPr="0092458B">
        <w:rPr>
          <w:sz w:val="24"/>
          <w:szCs w:val="24"/>
          <w:lang w:bidi="en-GB"/>
        </w:rPr>
        <w:t>Hirvilammi</w:t>
      </w:r>
      <w:proofErr w:type="spellEnd"/>
      <w:r w:rsidR="00B55A5C" w:rsidRPr="0092458B">
        <w:rPr>
          <w:sz w:val="24"/>
          <w:szCs w:val="24"/>
          <w:lang w:bidi="en-GB"/>
        </w:rPr>
        <w:t xml:space="preserve"> &amp; Koch, 2020; Bohnenb</w:t>
      </w:r>
      <w:r w:rsidR="00C47F15">
        <w:rPr>
          <w:sz w:val="24"/>
          <w:szCs w:val="24"/>
          <w:lang w:bidi="en-GB"/>
        </w:rPr>
        <w:t>e</w:t>
      </w:r>
      <w:r w:rsidR="00B55A5C" w:rsidRPr="0092458B">
        <w:rPr>
          <w:sz w:val="24"/>
          <w:szCs w:val="24"/>
          <w:lang w:bidi="en-GB"/>
        </w:rPr>
        <w:t>rger, 2020).</w:t>
      </w:r>
      <w:r w:rsidR="00B558AD" w:rsidRPr="0092458B">
        <w:rPr>
          <w:rFonts w:ascii="Calibri" w:eastAsia="Calibri" w:hAnsi="Calibri" w:cs="Calibri"/>
          <w:sz w:val="24"/>
          <w:szCs w:val="24"/>
          <w:shd w:val="clear" w:color="auto" w:fill="FFFFFF"/>
          <w:lang w:bidi="en-GB"/>
        </w:rPr>
        <w:t xml:space="preserve"> The paper discusses how the research supports the need for such policy aims </w:t>
      </w:r>
      <w:proofErr w:type="gramStart"/>
      <w:r w:rsidR="00B558AD" w:rsidRPr="0092458B">
        <w:rPr>
          <w:rFonts w:ascii="Calibri" w:eastAsia="Calibri" w:hAnsi="Calibri" w:cs="Calibri"/>
          <w:sz w:val="24"/>
          <w:szCs w:val="24"/>
          <w:shd w:val="clear" w:color="auto" w:fill="FFFFFF"/>
          <w:lang w:bidi="en-GB"/>
        </w:rPr>
        <w:t>in order to</w:t>
      </w:r>
      <w:proofErr w:type="gramEnd"/>
      <w:r w:rsidR="00B558AD" w:rsidRPr="0092458B">
        <w:rPr>
          <w:rFonts w:ascii="Calibri" w:eastAsia="Calibri" w:hAnsi="Calibri" w:cs="Calibri"/>
          <w:sz w:val="24"/>
          <w:szCs w:val="24"/>
          <w:shd w:val="clear" w:color="auto" w:fill="FFFFFF"/>
          <w:lang w:bidi="en-GB"/>
        </w:rPr>
        <w:t xml:space="preserve"> achieve lower environmental impact and maintain wellbeing, but also that many social policies and the welfare state itself harbours substantial growth dependencies. Hitherto, welfare states have been complementary to the growth economy (Walker, Druckman &amp; </w:t>
      </w:r>
      <w:r w:rsidR="00B558AD" w:rsidRPr="0092458B">
        <w:rPr>
          <w:rFonts w:ascii="Calibri" w:eastAsia="Calibri" w:hAnsi="Calibri" w:cs="Calibri"/>
          <w:sz w:val="24"/>
          <w:szCs w:val="24"/>
          <w:shd w:val="clear" w:color="auto" w:fill="FFFFFF"/>
          <w:lang w:bidi="en-GB"/>
        </w:rPr>
        <w:lastRenderedPageBreak/>
        <w:t xml:space="preserve">Jackson, 2021; Bailey, 2015). </w:t>
      </w:r>
      <w:r w:rsidR="00B558AD" w:rsidRPr="0092458B">
        <w:rPr>
          <w:rFonts w:ascii="Calibri" w:eastAsia="Calibri" w:hAnsi="Calibri" w:cs="Calibri"/>
          <w:sz w:val="24"/>
          <w:szCs w:val="24"/>
          <w:shd w:val="clear" w:color="auto" w:fill="FFFFFF"/>
          <w:lang w:bidi="en-GB"/>
        </w:rPr>
        <w:tab/>
      </w:r>
      <w:r w:rsidR="00B558AD" w:rsidRPr="0092458B">
        <w:rPr>
          <w:rFonts w:ascii="Calibri" w:eastAsia="Calibri" w:hAnsi="Calibri" w:cs="Calibri"/>
          <w:sz w:val="24"/>
          <w:szCs w:val="24"/>
          <w:shd w:val="clear" w:color="auto" w:fill="FFFFFF"/>
          <w:lang w:bidi="en-GB"/>
        </w:rPr>
        <w:tab/>
      </w:r>
      <w:r w:rsidR="00B558AD" w:rsidRPr="0092458B">
        <w:rPr>
          <w:rFonts w:ascii="Calibri" w:eastAsia="Calibri" w:hAnsi="Calibri" w:cs="Calibri"/>
          <w:sz w:val="24"/>
          <w:szCs w:val="24"/>
          <w:shd w:val="clear" w:color="auto" w:fill="FFFFFF"/>
          <w:lang w:bidi="en-GB"/>
        </w:rPr>
        <w:tab/>
      </w:r>
      <w:r w:rsidR="00B558AD" w:rsidRPr="0092458B">
        <w:rPr>
          <w:rFonts w:ascii="Calibri" w:eastAsia="Calibri" w:hAnsi="Calibri" w:cs="Calibri"/>
          <w:sz w:val="24"/>
          <w:szCs w:val="24"/>
          <w:shd w:val="clear" w:color="auto" w:fill="FFFFFF"/>
          <w:lang w:bidi="en-GB"/>
        </w:rPr>
        <w:tab/>
      </w:r>
      <w:r w:rsidR="00B558AD" w:rsidRPr="0092458B">
        <w:rPr>
          <w:rFonts w:ascii="Calibri" w:eastAsia="Calibri" w:hAnsi="Calibri" w:cs="Calibri"/>
          <w:sz w:val="24"/>
          <w:szCs w:val="24"/>
          <w:shd w:val="clear" w:color="auto" w:fill="FFFFFF"/>
          <w:lang w:bidi="en-GB"/>
        </w:rPr>
        <w:tab/>
      </w:r>
      <w:r w:rsidR="00B558AD" w:rsidRPr="0092458B">
        <w:rPr>
          <w:rFonts w:ascii="Calibri" w:eastAsia="Calibri" w:hAnsi="Calibri" w:cs="Calibri"/>
          <w:sz w:val="24"/>
          <w:szCs w:val="24"/>
          <w:shd w:val="clear" w:color="auto" w:fill="FFFFFF"/>
          <w:lang w:bidi="en-GB"/>
        </w:rPr>
        <w:tab/>
        <w:t>The second challenge concerns the vision of simultaneous and complementary policy reforms ‘from above’ and transformations ‘from below’ of civil society and lifestyles based on ‘</w:t>
      </w:r>
      <w:proofErr w:type="spellStart"/>
      <w:r w:rsidR="00B558AD" w:rsidRPr="0092458B">
        <w:rPr>
          <w:rFonts w:ascii="Calibri" w:eastAsia="Calibri" w:hAnsi="Calibri" w:cs="Calibri"/>
          <w:sz w:val="24"/>
          <w:szCs w:val="24"/>
          <w:shd w:val="clear" w:color="auto" w:fill="FFFFFF"/>
          <w:lang w:bidi="en-GB"/>
        </w:rPr>
        <w:t>commoning</w:t>
      </w:r>
      <w:proofErr w:type="spellEnd"/>
      <w:r w:rsidR="00B558AD" w:rsidRPr="0092458B">
        <w:rPr>
          <w:rFonts w:ascii="Calibri" w:eastAsia="Calibri" w:hAnsi="Calibri" w:cs="Calibri"/>
          <w:sz w:val="24"/>
          <w:szCs w:val="24"/>
          <w:shd w:val="clear" w:color="auto" w:fill="FFFFFF"/>
          <w:lang w:bidi="en-GB"/>
        </w:rPr>
        <w:t>’ and ‘</w:t>
      </w:r>
      <w:proofErr w:type="spellStart"/>
      <w:r w:rsidR="00E55EF5" w:rsidRPr="0092458B">
        <w:rPr>
          <w:rFonts w:ascii="Calibri" w:eastAsia="Calibri" w:hAnsi="Calibri" w:cs="Calibri"/>
          <w:sz w:val="24"/>
          <w:szCs w:val="24"/>
          <w:shd w:val="clear" w:color="auto" w:fill="FFFFFF"/>
          <w:lang w:bidi="en-GB"/>
        </w:rPr>
        <w:t>convivialism</w:t>
      </w:r>
      <w:proofErr w:type="spellEnd"/>
      <w:r w:rsidR="00E55EF5" w:rsidRPr="0092458B">
        <w:rPr>
          <w:rFonts w:ascii="Calibri" w:eastAsia="Calibri" w:hAnsi="Calibri" w:cs="Calibri"/>
          <w:sz w:val="24"/>
          <w:szCs w:val="24"/>
          <w:shd w:val="clear" w:color="auto" w:fill="FFFFFF"/>
          <w:lang w:bidi="en-GB"/>
        </w:rPr>
        <w:t xml:space="preserve">’ (Buch-Hansen &amp; Nesterova, 2023; Fitzpatrick, </w:t>
      </w:r>
      <w:proofErr w:type="spellStart"/>
      <w:r w:rsidR="00E55EF5" w:rsidRPr="0092458B">
        <w:rPr>
          <w:rFonts w:ascii="Calibri" w:eastAsia="Calibri" w:hAnsi="Calibri" w:cs="Calibri"/>
          <w:sz w:val="24"/>
          <w:szCs w:val="24"/>
          <w:shd w:val="clear" w:color="auto" w:fill="FFFFFF"/>
          <w:lang w:bidi="en-GB"/>
        </w:rPr>
        <w:t>Parrique</w:t>
      </w:r>
      <w:proofErr w:type="spellEnd"/>
      <w:r w:rsidR="00E55EF5" w:rsidRPr="0092458B">
        <w:rPr>
          <w:rFonts w:ascii="Calibri" w:eastAsia="Calibri" w:hAnsi="Calibri" w:cs="Calibri"/>
          <w:sz w:val="24"/>
          <w:szCs w:val="24"/>
          <w:shd w:val="clear" w:color="auto" w:fill="FFFFFF"/>
          <w:lang w:bidi="en-GB"/>
        </w:rPr>
        <w:t xml:space="preserve"> &amp; Cosme, 2022</w:t>
      </w:r>
      <w:r w:rsidR="00B55A5C" w:rsidRPr="0092458B">
        <w:rPr>
          <w:sz w:val="24"/>
          <w:szCs w:val="24"/>
          <w:lang w:bidi="en-GB"/>
        </w:rPr>
        <w:t xml:space="preserve">; Koch, 2022a, 2022b; </w:t>
      </w:r>
      <w:proofErr w:type="spellStart"/>
      <w:r w:rsidR="00B55A5C" w:rsidRPr="0092458B">
        <w:rPr>
          <w:sz w:val="24"/>
          <w:szCs w:val="24"/>
          <w:lang w:bidi="en-GB"/>
        </w:rPr>
        <w:t>D’Alisa</w:t>
      </w:r>
      <w:proofErr w:type="spellEnd"/>
      <w:r w:rsidR="00B55A5C" w:rsidRPr="0092458B">
        <w:rPr>
          <w:sz w:val="24"/>
          <w:szCs w:val="24"/>
          <w:lang w:bidi="en-GB"/>
        </w:rPr>
        <w:t xml:space="preserve"> &amp; Kallis, 2020; </w:t>
      </w:r>
      <w:proofErr w:type="spellStart"/>
      <w:r w:rsidR="00B55A5C" w:rsidRPr="0092458B">
        <w:rPr>
          <w:sz w:val="24"/>
          <w:szCs w:val="24"/>
          <w:lang w:bidi="en-GB"/>
        </w:rPr>
        <w:t>Parrique</w:t>
      </w:r>
      <w:proofErr w:type="spellEnd"/>
      <w:r w:rsidR="00B55A5C" w:rsidRPr="0092458B">
        <w:rPr>
          <w:sz w:val="24"/>
          <w:szCs w:val="24"/>
          <w:lang w:bidi="en-GB"/>
        </w:rPr>
        <w:t xml:space="preserve">, 2019; Helfrich &amp; </w:t>
      </w:r>
      <w:proofErr w:type="spellStart"/>
      <w:r w:rsidR="00B55A5C" w:rsidRPr="0092458B">
        <w:rPr>
          <w:sz w:val="24"/>
          <w:szCs w:val="24"/>
          <w:lang w:bidi="en-GB"/>
        </w:rPr>
        <w:t>Bolier</w:t>
      </w:r>
      <w:proofErr w:type="spellEnd"/>
      <w:r w:rsidR="00B55A5C" w:rsidRPr="0092458B">
        <w:rPr>
          <w:sz w:val="24"/>
          <w:szCs w:val="24"/>
          <w:lang w:bidi="en-GB"/>
        </w:rPr>
        <w:t xml:space="preserve">, 2015; </w:t>
      </w:r>
      <w:proofErr w:type="spellStart"/>
      <w:r w:rsidR="00B55A5C" w:rsidRPr="0092458B">
        <w:rPr>
          <w:sz w:val="24"/>
          <w:szCs w:val="24"/>
          <w:lang w:bidi="en-GB"/>
        </w:rPr>
        <w:t>Deriu</w:t>
      </w:r>
      <w:proofErr w:type="spellEnd"/>
      <w:r w:rsidR="00B55A5C" w:rsidRPr="0092458B">
        <w:rPr>
          <w:sz w:val="24"/>
          <w:szCs w:val="24"/>
          <w:lang w:bidi="en-GB"/>
        </w:rPr>
        <w:t>, 2015)</w:t>
      </w:r>
      <w:r w:rsidR="00E55EF5" w:rsidRPr="0092458B">
        <w:rPr>
          <w:rFonts w:ascii="Calibri" w:eastAsia="Calibri" w:hAnsi="Calibri" w:cs="Calibri"/>
          <w:sz w:val="24"/>
          <w:szCs w:val="24"/>
          <w:shd w:val="clear" w:color="auto" w:fill="FFFFFF"/>
          <w:lang w:bidi="en-GB"/>
        </w:rPr>
        <w:t xml:space="preserve">. These combinations of grand, progressive policy reforms and the proliferation of alternatives based on </w:t>
      </w:r>
      <w:proofErr w:type="spellStart"/>
      <w:r w:rsidR="00E55EF5" w:rsidRPr="0092458B">
        <w:rPr>
          <w:rFonts w:ascii="Calibri" w:eastAsia="Calibri" w:hAnsi="Calibri" w:cs="Calibri"/>
          <w:sz w:val="24"/>
          <w:szCs w:val="24"/>
          <w:shd w:val="clear" w:color="auto" w:fill="FFFFFF"/>
          <w:lang w:bidi="en-GB"/>
        </w:rPr>
        <w:t>commoning</w:t>
      </w:r>
      <w:proofErr w:type="spellEnd"/>
      <w:r w:rsidR="00E55EF5" w:rsidRPr="0092458B">
        <w:rPr>
          <w:rFonts w:ascii="Calibri" w:eastAsia="Calibri" w:hAnsi="Calibri" w:cs="Calibri"/>
          <w:sz w:val="24"/>
          <w:szCs w:val="24"/>
          <w:shd w:val="clear" w:color="auto" w:fill="FFFFFF"/>
          <w:lang w:bidi="en-GB"/>
        </w:rPr>
        <w:t xml:space="preserve"> (self-governing communities, cooperatives, </w:t>
      </w:r>
      <w:r w:rsidR="00B55A5C" w:rsidRPr="0092458B">
        <w:rPr>
          <w:sz w:val="24"/>
          <w:szCs w:val="24"/>
          <w:lang w:bidi="en-GB"/>
        </w:rPr>
        <w:t xml:space="preserve">ecovillages, etc.) are not mutually exclusive. However, they do raise some questions on the pertinence of state-led decommodification and welfare provision in a simultaneously expanding informal economy, where alternatives to formal state and market institutions are becoming more prominent in our lives.   </w:t>
      </w:r>
      <w:r w:rsidR="00B55A5C" w:rsidRPr="0092458B">
        <w:rPr>
          <w:sz w:val="24"/>
          <w:szCs w:val="24"/>
          <w:lang w:bidi="en-GB"/>
        </w:rPr>
        <w:tab/>
        <w:t xml:space="preserve">The third and final challenge concerns public legitimacy and support. The social-movement-like transformations and major policy reforms envisaged by advocates of degrowth require broad public support. Across European countries, it is already possible to identify substantial shares of the population in support of growth critiques and degrowth-related policies (Schulken et al., 2022; Khan et al., 2022; Emilsson, 2022a, 2022b; </w:t>
      </w:r>
      <w:proofErr w:type="spellStart"/>
      <w:r w:rsidR="00B55A5C" w:rsidRPr="0092458B">
        <w:rPr>
          <w:sz w:val="24"/>
          <w:szCs w:val="24"/>
          <w:lang w:bidi="en-GB"/>
        </w:rPr>
        <w:t>Heggebø</w:t>
      </w:r>
      <w:proofErr w:type="spellEnd"/>
      <w:r w:rsidR="00B55A5C" w:rsidRPr="0092458B">
        <w:rPr>
          <w:sz w:val="24"/>
          <w:szCs w:val="24"/>
          <w:lang w:bidi="en-GB"/>
        </w:rPr>
        <w:t xml:space="preserve"> &amp; </w:t>
      </w:r>
      <w:proofErr w:type="spellStart"/>
      <w:r w:rsidR="00B55A5C" w:rsidRPr="0092458B">
        <w:rPr>
          <w:sz w:val="24"/>
          <w:szCs w:val="24"/>
          <w:lang w:bidi="en-GB"/>
        </w:rPr>
        <w:t>Hvinden</w:t>
      </w:r>
      <w:proofErr w:type="spellEnd"/>
      <w:r w:rsidR="00B55A5C" w:rsidRPr="0092458B">
        <w:rPr>
          <w:sz w:val="24"/>
          <w:szCs w:val="24"/>
          <w:lang w:bidi="en-GB"/>
        </w:rPr>
        <w:t xml:space="preserve">, 2022; Paulson &amp; </w:t>
      </w:r>
      <w:proofErr w:type="spellStart"/>
      <w:r w:rsidR="00B55A5C" w:rsidRPr="0092458B">
        <w:rPr>
          <w:sz w:val="24"/>
          <w:szCs w:val="24"/>
          <w:lang w:bidi="en-GB"/>
        </w:rPr>
        <w:t>Büchs</w:t>
      </w:r>
      <w:proofErr w:type="spellEnd"/>
      <w:r w:rsidR="00B55A5C" w:rsidRPr="0092458B">
        <w:rPr>
          <w:sz w:val="24"/>
          <w:szCs w:val="24"/>
          <w:lang w:bidi="en-GB"/>
        </w:rPr>
        <w:t>, 2022). This is remarkable considering that growth critiques and degrowth are marginalised in established political agendas and that advocates</w:t>
      </w:r>
      <w:r w:rsidR="004811B1" w:rsidRPr="0092458B">
        <w:rPr>
          <w:iCs/>
          <w:sz w:val="24"/>
          <w:szCs w:val="24"/>
          <w:lang w:val="en-US"/>
        </w:rPr>
        <w:t xml:space="preserve"> </w:t>
      </w:r>
      <w:r w:rsidR="00B55A5C" w:rsidRPr="0092458B">
        <w:rPr>
          <w:sz w:val="24"/>
          <w:szCs w:val="24"/>
          <w:lang w:bidi="en-GB"/>
        </w:rPr>
        <w:t xml:space="preserve">possess </w:t>
      </w:r>
      <w:r w:rsidR="00D6350F" w:rsidRPr="0092458B">
        <w:rPr>
          <w:sz w:val="24"/>
          <w:szCs w:val="24"/>
          <w:lang w:bidi="en-GB"/>
        </w:rPr>
        <w:t xml:space="preserve">few </w:t>
      </w:r>
      <w:r w:rsidR="00B55A5C" w:rsidRPr="0092458B">
        <w:rPr>
          <w:sz w:val="24"/>
          <w:szCs w:val="24"/>
          <w:lang w:bidi="en-GB"/>
        </w:rPr>
        <w:t>conventional power resources (Buch-Hansen &amp; Carstensen, 2021; Buch-Hansen, 2018). However, the paper also discusses ambivalence with respect to public support for an agenda that is still unclear or entirely unknown to many. Support for core policies must expand further beyond voter constituencies on the ‘new left’ or ‘green left’.</w:t>
      </w:r>
      <w:r w:rsidR="00B55A5C" w:rsidRPr="0092458B">
        <w:rPr>
          <w:sz w:val="24"/>
          <w:szCs w:val="24"/>
          <w:lang w:bidi="en-GB"/>
        </w:rPr>
        <w:tab/>
      </w:r>
      <w:r w:rsidR="00C00707" w:rsidRPr="0092458B">
        <w:rPr>
          <w:sz w:val="24"/>
          <w:szCs w:val="24"/>
          <w:lang w:bidi="en-GB"/>
        </w:rPr>
        <w:tab/>
      </w:r>
      <w:r w:rsidR="00C00707" w:rsidRPr="0092458B">
        <w:rPr>
          <w:sz w:val="24"/>
          <w:szCs w:val="24"/>
          <w:lang w:bidi="en-GB"/>
        </w:rPr>
        <w:tab/>
      </w:r>
      <w:r w:rsidR="00C00707" w:rsidRPr="0092458B">
        <w:rPr>
          <w:sz w:val="24"/>
          <w:szCs w:val="24"/>
          <w:lang w:bidi="en-GB"/>
        </w:rPr>
        <w:tab/>
      </w:r>
      <w:r w:rsidR="00C00707" w:rsidRPr="0092458B">
        <w:rPr>
          <w:sz w:val="24"/>
          <w:szCs w:val="24"/>
          <w:lang w:bidi="en-GB"/>
        </w:rPr>
        <w:tab/>
      </w:r>
      <w:r w:rsidR="00C00707" w:rsidRPr="0092458B">
        <w:rPr>
          <w:sz w:val="24"/>
          <w:szCs w:val="24"/>
          <w:lang w:bidi="en-GB"/>
        </w:rPr>
        <w:tab/>
      </w:r>
      <w:r w:rsidR="00CA6E83" w:rsidRPr="0092458B">
        <w:rPr>
          <w:rFonts w:ascii="Calibri" w:eastAsia="Calibri" w:hAnsi="Calibri" w:cs="Calibri"/>
          <w:sz w:val="24"/>
          <w:szCs w:val="24"/>
          <w:shd w:val="clear" w:color="auto" w:fill="FFFFFF"/>
          <w:lang w:bidi="en-GB"/>
        </w:rPr>
        <w:t xml:space="preserve">The three challenges or inherent tensions concern the feasibility and desirability of social policies based on degrowth. The first does so by focusing on such policies themselves, the second by discussing their role vis-à-vis informal </w:t>
      </w:r>
      <w:proofErr w:type="spellStart"/>
      <w:r w:rsidR="00CA6E83" w:rsidRPr="0092458B">
        <w:rPr>
          <w:rFonts w:ascii="Calibri" w:eastAsia="Calibri" w:hAnsi="Calibri" w:cs="Calibri"/>
          <w:sz w:val="24"/>
          <w:szCs w:val="24"/>
          <w:shd w:val="clear" w:color="auto" w:fill="FFFFFF"/>
          <w:lang w:bidi="en-GB"/>
        </w:rPr>
        <w:t>commoning</w:t>
      </w:r>
      <w:proofErr w:type="spellEnd"/>
      <w:r w:rsidR="00CA6E83" w:rsidRPr="0092458B">
        <w:rPr>
          <w:rFonts w:ascii="Calibri" w:eastAsia="Calibri" w:hAnsi="Calibri" w:cs="Calibri"/>
          <w:sz w:val="24"/>
          <w:szCs w:val="24"/>
          <w:shd w:val="clear" w:color="auto" w:fill="FFFFFF"/>
          <w:lang w:bidi="en-GB"/>
        </w:rPr>
        <w:t xml:space="preserve"> and reciprocity-based welfare within civil society, while the third concerns democratic legitimacy or public support.</w:t>
      </w:r>
      <w:r w:rsidR="00B55A5C" w:rsidRPr="0092458B">
        <w:rPr>
          <w:sz w:val="24"/>
          <w:szCs w:val="24"/>
          <w:lang w:bidi="en-GB"/>
        </w:rPr>
        <w:t xml:space="preserve"> By focusing attention on these three issues, I emphasise that more </w:t>
      </w:r>
      <w:r w:rsidR="00111058">
        <w:rPr>
          <w:sz w:val="24"/>
          <w:szCs w:val="24"/>
          <w:lang w:bidi="en-GB"/>
        </w:rPr>
        <w:t>research</w:t>
      </w:r>
      <w:r w:rsidR="00B55A5C" w:rsidRPr="0092458B">
        <w:rPr>
          <w:sz w:val="24"/>
          <w:szCs w:val="24"/>
          <w:lang w:bidi="en-GB"/>
        </w:rPr>
        <w:t xml:space="preserve"> is needed on the potential limits for formal, publicly provided welfare in a political economy based on needs and sufficiency where informal </w:t>
      </w:r>
      <w:proofErr w:type="spellStart"/>
      <w:r w:rsidR="00B55A5C" w:rsidRPr="0092458B">
        <w:rPr>
          <w:sz w:val="24"/>
          <w:szCs w:val="24"/>
          <w:lang w:bidi="en-GB"/>
        </w:rPr>
        <w:t>commoning</w:t>
      </w:r>
      <w:proofErr w:type="spellEnd"/>
      <w:r w:rsidR="00B55A5C" w:rsidRPr="0092458B">
        <w:rPr>
          <w:sz w:val="24"/>
          <w:szCs w:val="24"/>
          <w:lang w:bidi="en-GB"/>
        </w:rPr>
        <w:t xml:space="preserve"> is also envisaged to play a larger role. In terms of popular support, I also emphasise that there are limits to degrowth in affluent economies if framed mainly as an issue of environmental justice and class struggle. New popular conceptions of welfare and wellbeing are </w:t>
      </w:r>
      <w:r w:rsidR="00B55A5C" w:rsidRPr="0092458B">
        <w:rPr>
          <w:sz w:val="24"/>
          <w:szCs w:val="24"/>
          <w:lang w:bidi="en-GB"/>
        </w:rPr>
        <w:lastRenderedPageBreak/>
        <w:t xml:space="preserve">also needed. This presupposes ‘social tipping points’, where new norms, behaviours and modes of living become more widespread in a rapid, non-linear fashion.  </w:t>
      </w:r>
      <w:r w:rsidR="00B55A5C" w:rsidRPr="0092458B">
        <w:rPr>
          <w:sz w:val="24"/>
          <w:szCs w:val="24"/>
          <w:lang w:bidi="en-GB"/>
        </w:rPr>
        <w:tab/>
      </w:r>
      <w:r w:rsidR="00B55A5C" w:rsidRPr="0092458B">
        <w:rPr>
          <w:sz w:val="24"/>
          <w:szCs w:val="24"/>
          <w:lang w:bidi="en-GB"/>
        </w:rPr>
        <w:tab/>
      </w:r>
      <w:r w:rsidR="00B55A5C" w:rsidRPr="0092458B">
        <w:rPr>
          <w:sz w:val="24"/>
          <w:szCs w:val="24"/>
          <w:lang w:bidi="en-GB"/>
        </w:rPr>
        <w:tab/>
      </w:r>
      <w:r w:rsidR="00B55A5C" w:rsidRPr="0092458B">
        <w:rPr>
          <w:sz w:val="24"/>
          <w:szCs w:val="24"/>
          <w:lang w:bidi="en-GB"/>
        </w:rPr>
        <w:tab/>
        <w:t>The literature itself has elaborated this as a shift from wants-based conceptions of wellbeing towards needs-based conceptions, with less room for conspicuous consumption (also discussed as ‘</w:t>
      </w:r>
      <w:proofErr w:type="spellStart"/>
      <w:r w:rsidR="00B55A5C" w:rsidRPr="0092458B">
        <w:rPr>
          <w:sz w:val="24"/>
          <w:szCs w:val="24"/>
          <w:lang w:bidi="en-GB"/>
        </w:rPr>
        <w:t>limitarianism</w:t>
      </w:r>
      <w:proofErr w:type="spellEnd"/>
      <w:r w:rsidR="00B55A5C" w:rsidRPr="0092458B">
        <w:rPr>
          <w:sz w:val="24"/>
          <w:szCs w:val="24"/>
          <w:lang w:bidi="en-GB"/>
        </w:rPr>
        <w:t xml:space="preserve">’ and ‘sufficiency’), and a more </w:t>
      </w:r>
      <w:proofErr w:type="spellStart"/>
      <w:r w:rsidR="00B55A5C" w:rsidRPr="0092458B">
        <w:rPr>
          <w:sz w:val="24"/>
          <w:szCs w:val="24"/>
          <w:lang w:bidi="en-GB"/>
        </w:rPr>
        <w:t>eudaimonic</w:t>
      </w:r>
      <w:proofErr w:type="spellEnd"/>
      <w:r w:rsidR="00B55A5C" w:rsidRPr="0092458B">
        <w:rPr>
          <w:sz w:val="24"/>
          <w:szCs w:val="24"/>
          <w:lang w:bidi="en-GB"/>
        </w:rPr>
        <w:t xml:space="preserve"> rather than hedonic conception of happiness (Buch-Hansen &amp; Nesterova, 2023; Isham et al., 2022; Jackson, 2021; </w:t>
      </w:r>
      <w:proofErr w:type="spellStart"/>
      <w:r w:rsidR="00B55A5C" w:rsidRPr="0092458B">
        <w:rPr>
          <w:sz w:val="24"/>
          <w:szCs w:val="24"/>
          <w:lang w:bidi="en-GB"/>
        </w:rPr>
        <w:t>Büchs</w:t>
      </w:r>
      <w:proofErr w:type="spellEnd"/>
      <w:r w:rsidR="00B55A5C" w:rsidRPr="0092458B">
        <w:rPr>
          <w:sz w:val="24"/>
          <w:szCs w:val="24"/>
          <w:lang w:bidi="en-GB"/>
        </w:rPr>
        <w:t xml:space="preserve"> &amp; Koch, 2019; Spangenberg &amp; Lorek, 2019).</w:t>
      </w:r>
    </w:p>
    <w:p w14:paraId="39AD901B" w14:textId="77777777" w:rsidR="00C308AB" w:rsidRPr="0092458B" w:rsidRDefault="00C308AB" w:rsidP="00D8112B">
      <w:pPr>
        <w:spacing w:line="360" w:lineRule="auto"/>
        <w:rPr>
          <w:b/>
          <w:bCs/>
          <w:sz w:val="28"/>
          <w:szCs w:val="28"/>
          <w:lang w:val="en-US"/>
        </w:rPr>
      </w:pPr>
    </w:p>
    <w:p w14:paraId="14F099E9" w14:textId="423D031F" w:rsidR="007F5BFD" w:rsidRPr="0092458B" w:rsidRDefault="00582DA8" w:rsidP="00D8112B">
      <w:pPr>
        <w:spacing w:line="360" w:lineRule="auto"/>
        <w:rPr>
          <w:b/>
          <w:bCs/>
          <w:sz w:val="28"/>
          <w:szCs w:val="28"/>
          <w:lang w:val="en-US"/>
        </w:rPr>
      </w:pPr>
      <w:r w:rsidRPr="0092458B">
        <w:rPr>
          <w:b/>
          <w:sz w:val="28"/>
          <w:szCs w:val="28"/>
          <w:lang w:bidi="en-GB"/>
        </w:rPr>
        <w:t xml:space="preserve">Degrowth: Definition, </w:t>
      </w:r>
      <w:proofErr w:type="gramStart"/>
      <w:r w:rsidRPr="0092458B">
        <w:rPr>
          <w:b/>
          <w:sz w:val="28"/>
          <w:szCs w:val="28"/>
          <w:lang w:bidi="en-GB"/>
        </w:rPr>
        <w:t>origins</w:t>
      </w:r>
      <w:proofErr w:type="gramEnd"/>
      <w:r w:rsidRPr="0092458B">
        <w:rPr>
          <w:b/>
          <w:sz w:val="28"/>
          <w:szCs w:val="28"/>
          <w:lang w:bidi="en-GB"/>
        </w:rPr>
        <w:t xml:space="preserve"> and visions. </w:t>
      </w:r>
    </w:p>
    <w:p w14:paraId="068890C6" w14:textId="4A0C8EB0" w:rsidR="007C181A" w:rsidRPr="0092458B" w:rsidRDefault="002264F0" w:rsidP="00022080">
      <w:pPr>
        <w:spacing w:line="360" w:lineRule="auto"/>
        <w:rPr>
          <w:sz w:val="24"/>
          <w:szCs w:val="24"/>
          <w:lang w:val="en-US"/>
        </w:rPr>
      </w:pPr>
      <w:r w:rsidRPr="0092458B">
        <w:rPr>
          <w:sz w:val="24"/>
          <w:szCs w:val="24"/>
          <w:lang w:bidi="en-GB"/>
        </w:rPr>
        <w:t xml:space="preserve">It seems that we are witnessing a resurgent paradigm </w:t>
      </w:r>
      <w:r w:rsidR="00443185">
        <w:rPr>
          <w:sz w:val="24"/>
          <w:szCs w:val="24"/>
          <w:lang w:bidi="en-GB"/>
        </w:rPr>
        <w:t>rift</w:t>
      </w:r>
      <w:r w:rsidRPr="0092458B">
        <w:rPr>
          <w:sz w:val="24"/>
          <w:szCs w:val="24"/>
          <w:lang w:bidi="en-GB"/>
        </w:rPr>
        <w:t xml:space="preserve"> between the established ‘green growth’ paradigm and degrowth, while more ineffable and perhaps pragmatic concepts such as ‘a-growth’ or ‘post growth’ are often thrown into the mix as well (Jakob et al. 2020; Raworth, 2017; van den Bergh &amp; Kallis, 2012). Degrowth does not mean replacing GDP growth with a political goal of indiscriminately destroying all forms of economic activity and imposing a self-inflicted recession, but a </w:t>
      </w:r>
      <w:r w:rsidRPr="0092458B">
        <w:rPr>
          <w:i/>
          <w:sz w:val="24"/>
          <w:szCs w:val="24"/>
          <w:lang w:bidi="en-GB"/>
        </w:rPr>
        <w:t>“… planned reduction of energy and resource throughput designed to bring the economy back into balance with the living world in a way that reduces inequality and improves human well-being”</w:t>
      </w:r>
      <w:r w:rsidRPr="0092458B">
        <w:rPr>
          <w:sz w:val="24"/>
          <w:szCs w:val="24"/>
          <w:lang w:bidi="en-GB"/>
        </w:rPr>
        <w:t xml:space="preserve"> (Hickel, 2021:2). The main priority is not simply to reduce GDP by itself, but to move towards a situation where GDP becomes less important, thus facilitating a reduction in resource throughput. Various similar definitions place the emphasis on democratic and planned reductions of throughput—particularly in wealthy countries—with attention to redistribution and wellbeing on the basis of a growth-independent economy (Buch-Hansen &amp; Nesterova, 2023; Schmelzer, Vetter &amp; </w:t>
      </w:r>
      <w:proofErr w:type="spellStart"/>
      <w:r w:rsidRPr="0092458B">
        <w:rPr>
          <w:sz w:val="24"/>
          <w:szCs w:val="24"/>
          <w:lang w:bidi="en-GB"/>
        </w:rPr>
        <w:t>Vansintjan</w:t>
      </w:r>
      <w:proofErr w:type="spellEnd"/>
      <w:r w:rsidRPr="0092458B">
        <w:rPr>
          <w:sz w:val="24"/>
          <w:szCs w:val="24"/>
          <w:lang w:bidi="en-GB"/>
        </w:rPr>
        <w:t xml:space="preserve">, 2022; Schulken et al., 2022; Hickel, 2020; Burkhart, Schmelzer &amp; Treu, 2020; </w:t>
      </w:r>
      <w:proofErr w:type="spellStart"/>
      <w:r w:rsidRPr="0092458B">
        <w:rPr>
          <w:sz w:val="24"/>
          <w:szCs w:val="24"/>
          <w:lang w:bidi="en-GB"/>
        </w:rPr>
        <w:t>Parrique</w:t>
      </w:r>
      <w:proofErr w:type="spellEnd"/>
      <w:r w:rsidRPr="0092458B">
        <w:rPr>
          <w:sz w:val="24"/>
          <w:szCs w:val="24"/>
          <w:lang w:bidi="en-GB"/>
        </w:rPr>
        <w:t xml:space="preserve">, 2019; Kallis et al., 2018; Jackson, 2016; Kallis, Demaria &amp; </w:t>
      </w:r>
      <w:proofErr w:type="spellStart"/>
      <w:r w:rsidRPr="0092458B">
        <w:rPr>
          <w:sz w:val="24"/>
          <w:szCs w:val="24"/>
          <w:lang w:bidi="en-GB"/>
        </w:rPr>
        <w:t>D’Alisa</w:t>
      </w:r>
      <w:proofErr w:type="spellEnd"/>
      <w:r w:rsidRPr="0092458B">
        <w:rPr>
          <w:sz w:val="24"/>
          <w:szCs w:val="24"/>
          <w:lang w:bidi="en-GB"/>
        </w:rPr>
        <w:t xml:space="preserve">, 2015; Demaria et al., 2013; Latouche, 2009). </w:t>
      </w:r>
      <w:r w:rsidR="00F20ADB" w:rsidRPr="0092458B">
        <w:rPr>
          <w:sz w:val="24"/>
          <w:szCs w:val="24"/>
          <w:lang w:bidi="en-GB"/>
        </w:rPr>
        <w:tab/>
      </w:r>
      <w:r w:rsidR="00F20ADB" w:rsidRPr="0092458B">
        <w:rPr>
          <w:sz w:val="24"/>
          <w:szCs w:val="24"/>
          <w:lang w:bidi="en-GB"/>
        </w:rPr>
        <w:tab/>
      </w:r>
      <w:r w:rsidR="00F20ADB" w:rsidRPr="0092458B">
        <w:rPr>
          <w:sz w:val="24"/>
          <w:szCs w:val="24"/>
          <w:lang w:bidi="en-GB"/>
        </w:rPr>
        <w:tab/>
      </w:r>
      <w:r w:rsidR="00F20ADB" w:rsidRPr="0092458B">
        <w:rPr>
          <w:sz w:val="24"/>
          <w:szCs w:val="24"/>
          <w:lang w:bidi="en-GB"/>
        </w:rPr>
        <w:tab/>
      </w:r>
      <w:r w:rsidR="00F20ADB" w:rsidRPr="0092458B">
        <w:rPr>
          <w:sz w:val="24"/>
          <w:szCs w:val="24"/>
          <w:lang w:bidi="en-GB"/>
        </w:rPr>
        <w:tab/>
      </w:r>
      <w:r w:rsidR="00F20ADB" w:rsidRPr="0092458B">
        <w:rPr>
          <w:sz w:val="24"/>
          <w:szCs w:val="24"/>
          <w:lang w:bidi="en-GB"/>
        </w:rPr>
        <w:tab/>
      </w:r>
      <w:r w:rsidR="00F20ADB" w:rsidRPr="0092458B">
        <w:rPr>
          <w:sz w:val="24"/>
          <w:szCs w:val="24"/>
          <w:lang w:bidi="en-GB"/>
        </w:rPr>
        <w:tab/>
      </w:r>
      <w:r w:rsidRPr="0092458B">
        <w:rPr>
          <w:sz w:val="24"/>
          <w:szCs w:val="24"/>
          <w:lang w:bidi="en-GB"/>
        </w:rPr>
        <w:t xml:space="preserve">It is no longer controversial to say that some forms of economic activity must be scaled down and that technological development and increased resource efficiency alone will not solve the problem. For instance, ideas of a ‘New Green Deal’ being floated in both the US and the EU tread the waters somewhere between green growth, degrowth and a-growth, depending on the specific proposal and emphasis (Albert, 2022; European Environment Agency, 2021; Mastini, </w:t>
      </w:r>
      <w:r w:rsidRPr="0092458B">
        <w:rPr>
          <w:sz w:val="24"/>
          <w:szCs w:val="24"/>
          <w:lang w:bidi="en-GB"/>
        </w:rPr>
        <w:lastRenderedPageBreak/>
        <w:t xml:space="preserve">Kallis &amp; Hickel, 2021). Similarly, IPCC (2022) discussed demand-side reforms </w:t>
      </w:r>
      <w:proofErr w:type="gramStart"/>
      <w:r w:rsidRPr="0092458B">
        <w:rPr>
          <w:sz w:val="24"/>
          <w:szCs w:val="24"/>
          <w:lang w:bidi="en-GB"/>
        </w:rPr>
        <w:t>on the basis of</w:t>
      </w:r>
      <w:proofErr w:type="gramEnd"/>
      <w:r w:rsidRPr="0092458B">
        <w:rPr>
          <w:sz w:val="24"/>
          <w:szCs w:val="24"/>
          <w:lang w:bidi="en-GB"/>
        </w:rPr>
        <w:t xml:space="preserve"> socio-cultural and behavioural changes and suggested that these can be achieved while improving global wellbeing.  Degrowth, however, is a more radical approach, where downscaling of environmentally harmful activities—both in terms of production (supply) and consumption (demand)—is the main path towards sustainability (Schmelzer, Vetter &amp; </w:t>
      </w:r>
      <w:proofErr w:type="spellStart"/>
      <w:r w:rsidRPr="0092458B">
        <w:rPr>
          <w:sz w:val="24"/>
          <w:szCs w:val="24"/>
          <w:lang w:bidi="en-GB"/>
        </w:rPr>
        <w:t>Vansintjan</w:t>
      </w:r>
      <w:proofErr w:type="spellEnd"/>
      <w:r w:rsidRPr="0092458B">
        <w:rPr>
          <w:sz w:val="24"/>
          <w:szCs w:val="24"/>
          <w:lang w:bidi="en-GB"/>
        </w:rPr>
        <w:t xml:space="preserve">, 2022; Schulken et al., 2022; Mont, Lehner &amp; </w:t>
      </w:r>
      <w:proofErr w:type="spellStart"/>
      <w:r w:rsidRPr="0092458B">
        <w:rPr>
          <w:sz w:val="24"/>
          <w:szCs w:val="24"/>
          <w:lang w:bidi="en-GB"/>
        </w:rPr>
        <w:t>Dalhammar</w:t>
      </w:r>
      <w:proofErr w:type="spellEnd"/>
      <w:r w:rsidRPr="0092458B">
        <w:rPr>
          <w:sz w:val="24"/>
          <w:szCs w:val="24"/>
          <w:lang w:bidi="en-GB"/>
        </w:rPr>
        <w:t>, 2022; Brand, 2022; Hickel, 2021, 2020).</w:t>
      </w:r>
      <w:r w:rsidRPr="0092458B">
        <w:rPr>
          <w:sz w:val="24"/>
          <w:szCs w:val="24"/>
          <w:lang w:bidi="en-GB"/>
        </w:rPr>
        <w:tab/>
        <w:t xml:space="preserve">Degrowth unifies two main strands of thought. Firstly, analyses of the environmental impact of the growth economy and secondly, normative critiques of ‘growthism’. In other words, what we might understand as a fusion of ecological economics and various critical approaches grounded in political theory. Degrowth unifies critiques of ecological destruction as well as inequality, alienation and ill-being as a result of the growth imperative, as well as feminism and post-colonial critiques of unequal terms of trade and resource extraction in the global economy (Schmelzer, Vetter &amp; </w:t>
      </w:r>
      <w:proofErr w:type="spellStart"/>
      <w:r w:rsidRPr="0092458B">
        <w:rPr>
          <w:sz w:val="24"/>
          <w:szCs w:val="24"/>
          <w:lang w:bidi="en-GB"/>
        </w:rPr>
        <w:t>Vansintjan</w:t>
      </w:r>
      <w:proofErr w:type="spellEnd"/>
      <w:r w:rsidRPr="0092458B">
        <w:rPr>
          <w:sz w:val="24"/>
          <w:szCs w:val="24"/>
          <w:lang w:bidi="en-GB"/>
        </w:rPr>
        <w:t xml:space="preserve">, 2022; Schulken et al., 2022; Hickel et al., 2022; Hubacek &amp; Wieland, 2021; Hickel, Sullivan &amp; </w:t>
      </w:r>
      <w:proofErr w:type="spellStart"/>
      <w:r w:rsidRPr="0092458B">
        <w:rPr>
          <w:sz w:val="24"/>
          <w:szCs w:val="24"/>
          <w:lang w:bidi="en-GB"/>
        </w:rPr>
        <w:t>Zoomkawala</w:t>
      </w:r>
      <w:proofErr w:type="spellEnd"/>
      <w:r w:rsidRPr="0092458B">
        <w:rPr>
          <w:sz w:val="24"/>
          <w:szCs w:val="24"/>
          <w:lang w:bidi="en-GB"/>
        </w:rPr>
        <w:t xml:space="preserve">, 2021; Hickel, 2020; </w:t>
      </w:r>
      <w:proofErr w:type="spellStart"/>
      <w:r w:rsidRPr="0092458B">
        <w:rPr>
          <w:sz w:val="24"/>
          <w:szCs w:val="24"/>
          <w:lang w:bidi="en-GB"/>
        </w:rPr>
        <w:t>Parrique</w:t>
      </w:r>
      <w:proofErr w:type="spellEnd"/>
      <w:r w:rsidRPr="0092458B">
        <w:rPr>
          <w:sz w:val="24"/>
          <w:szCs w:val="24"/>
          <w:lang w:bidi="en-GB"/>
        </w:rPr>
        <w:t xml:space="preserve">, 2019; Demaria et al., 2013, Alexander, 2012a).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The analytical foundation rooted in ecological economics finds support in studies of (the lack of) decoupling between exponential economic growth on the one hand and resource use and environmental impacts (global warming, biodiversity loss, etc.) on the other. This strand of research entered the public consciousness with </w:t>
      </w:r>
      <w:r w:rsidRPr="0092458B">
        <w:rPr>
          <w:i/>
          <w:sz w:val="24"/>
          <w:szCs w:val="24"/>
          <w:lang w:bidi="en-GB"/>
        </w:rPr>
        <w:t xml:space="preserve">Limits to Growth </w:t>
      </w:r>
      <w:r w:rsidRPr="0092458B">
        <w:rPr>
          <w:sz w:val="24"/>
          <w:szCs w:val="24"/>
          <w:lang w:bidi="en-GB"/>
        </w:rPr>
        <w:t>in 1972 (Meadows, Randers &amp; Meadows, 2004). It is beyond the scope of this article to elaborate on contemporary research</w:t>
      </w:r>
      <w:r w:rsidR="00FD4307" w:rsidRPr="0092458B">
        <w:rPr>
          <w:sz w:val="24"/>
          <w:szCs w:val="24"/>
          <w:lang w:bidi="en-GB"/>
        </w:rPr>
        <w:t xml:space="preserve"> (</w:t>
      </w:r>
      <w:r w:rsidRPr="0092458B">
        <w:rPr>
          <w:sz w:val="24"/>
          <w:szCs w:val="24"/>
          <w:lang w:bidi="en-GB"/>
        </w:rPr>
        <w:t xml:space="preserve">for metareviews and relevant studies, see for instance </w:t>
      </w:r>
      <w:r w:rsidR="00427E90" w:rsidRPr="0092458B">
        <w:rPr>
          <w:sz w:val="24"/>
          <w:szCs w:val="24"/>
          <w:lang w:bidi="en-GB"/>
        </w:rPr>
        <w:t xml:space="preserve">Vogel &amp; Hickel 2023; </w:t>
      </w:r>
      <w:r w:rsidRPr="0092458B">
        <w:rPr>
          <w:sz w:val="24"/>
          <w:szCs w:val="24"/>
          <w:lang w:bidi="en-GB"/>
        </w:rPr>
        <w:t xml:space="preserve">Fanning et al., 2021; Hubacek et al., 2021; Herrington, 2021; Lamb et al., 2021; </w:t>
      </w:r>
      <w:proofErr w:type="spellStart"/>
      <w:r w:rsidRPr="0092458B">
        <w:rPr>
          <w:sz w:val="24"/>
          <w:szCs w:val="24"/>
          <w:lang w:bidi="en-GB"/>
        </w:rPr>
        <w:t>Vadén</w:t>
      </w:r>
      <w:proofErr w:type="spellEnd"/>
      <w:r w:rsidRPr="0092458B">
        <w:rPr>
          <w:sz w:val="24"/>
          <w:szCs w:val="24"/>
          <w:lang w:bidi="en-GB"/>
        </w:rPr>
        <w:t xml:space="preserve"> et al., 2021; Haberl et al., 2020; Hickel &amp; Kallis, 2020; </w:t>
      </w:r>
      <w:proofErr w:type="spellStart"/>
      <w:r w:rsidRPr="0092458B">
        <w:rPr>
          <w:sz w:val="24"/>
          <w:szCs w:val="24"/>
          <w:lang w:bidi="en-GB"/>
        </w:rPr>
        <w:t>Vadén</w:t>
      </w:r>
      <w:proofErr w:type="spellEnd"/>
      <w:r w:rsidRPr="0092458B">
        <w:rPr>
          <w:sz w:val="24"/>
          <w:szCs w:val="24"/>
          <w:lang w:bidi="en-GB"/>
        </w:rPr>
        <w:t xml:space="preserve"> et al., 2020; Hagens, 2020; </w:t>
      </w:r>
      <w:proofErr w:type="spellStart"/>
      <w:r w:rsidRPr="0092458B">
        <w:rPr>
          <w:sz w:val="24"/>
          <w:szCs w:val="24"/>
          <w:lang w:bidi="en-GB"/>
        </w:rPr>
        <w:t>Parrique</w:t>
      </w:r>
      <w:proofErr w:type="spellEnd"/>
      <w:r w:rsidRPr="0092458B">
        <w:rPr>
          <w:sz w:val="24"/>
          <w:szCs w:val="24"/>
          <w:lang w:bidi="en-GB"/>
        </w:rPr>
        <w:t xml:space="preserve"> et al., 2019; Le Quéré et al., 2019; Ward et al., 2016; Wiedmann et al., 2015</w:t>
      </w:r>
      <w:r w:rsidR="00FD4307" w:rsidRPr="0092458B">
        <w:rPr>
          <w:sz w:val="24"/>
          <w:szCs w:val="24"/>
          <w:lang w:bidi="en-GB"/>
        </w:rPr>
        <w:t>)</w:t>
      </w:r>
      <w:r w:rsidRPr="0092458B">
        <w:rPr>
          <w:sz w:val="24"/>
          <w:szCs w:val="24"/>
          <w:lang w:bidi="en-GB"/>
        </w:rPr>
        <w:t xml:space="preserve">. </w:t>
      </w:r>
      <w:r w:rsidR="009C4151" w:rsidRPr="0092458B">
        <w:rPr>
          <w:sz w:val="24"/>
          <w:szCs w:val="24"/>
          <w:lang w:bidi="en-GB"/>
        </w:rPr>
        <w:tab/>
      </w:r>
      <w:r w:rsidR="009C4151" w:rsidRPr="0092458B">
        <w:rPr>
          <w:sz w:val="24"/>
          <w:szCs w:val="24"/>
          <w:lang w:bidi="en-GB"/>
        </w:rPr>
        <w:tab/>
      </w:r>
      <w:r w:rsidR="009C4151" w:rsidRPr="0092458B">
        <w:rPr>
          <w:sz w:val="24"/>
          <w:szCs w:val="24"/>
          <w:lang w:bidi="en-GB"/>
        </w:rPr>
        <w:tab/>
      </w:r>
      <w:r w:rsidR="009C4151" w:rsidRPr="0092458B">
        <w:rPr>
          <w:sz w:val="24"/>
          <w:szCs w:val="24"/>
          <w:lang w:bidi="en-GB"/>
        </w:rPr>
        <w:tab/>
      </w:r>
      <w:r w:rsidR="009C4151" w:rsidRPr="0092458B">
        <w:rPr>
          <w:sz w:val="24"/>
          <w:szCs w:val="24"/>
          <w:lang w:bidi="en-GB"/>
        </w:rPr>
        <w:tab/>
      </w:r>
      <w:r w:rsidR="008C19A0" w:rsidRPr="0092458B">
        <w:rPr>
          <w:sz w:val="24"/>
          <w:szCs w:val="24"/>
          <w:lang w:bidi="en-GB"/>
        </w:rPr>
        <w:t xml:space="preserve">The </w:t>
      </w:r>
      <w:r w:rsidR="0041746A" w:rsidRPr="0092458B">
        <w:rPr>
          <w:sz w:val="24"/>
          <w:szCs w:val="24"/>
          <w:lang w:bidi="en-GB"/>
        </w:rPr>
        <w:t xml:space="preserve">main findings in this literature </w:t>
      </w:r>
      <w:r w:rsidR="00FE07D8" w:rsidRPr="0092458B">
        <w:rPr>
          <w:sz w:val="24"/>
          <w:szCs w:val="24"/>
          <w:lang w:bidi="en-GB"/>
        </w:rPr>
        <w:t xml:space="preserve">can be summarized like this: </w:t>
      </w:r>
      <w:r w:rsidRPr="0092458B">
        <w:rPr>
          <w:sz w:val="24"/>
          <w:szCs w:val="24"/>
          <w:lang w:bidi="en-GB"/>
        </w:rPr>
        <w:t xml:space="preserve">There is evidence of absolute decoupling between emissions and economic growth in a small number of rich countries, mostly due to an increased electricity supply from renewables (during a period of low growth), </w:t>
      </w:r>
      <w:r w:rsidR="0048074F" w:rsidRPr="0092458B">
        <w:rPr>
          <w:sz w:val="24"/>
          <w:szCs w:val="24"/>
          <w:lang w:bidi="en-GB"/>
        </w:rPr>
        <w:t>but it is very limited and starkly insufficient vis-à-vis goals in</w:t>
      </w:r>
      <w:r w:rsidR="00E269D8" w:rsidRPr="0092458B">
        <w:rPr>
          <w:sz w:val="24"/>
          <w:szCs w:val="24"/>
          <w:lang w:bidi="en-GB"/>
        </w:rPr>
        <w:t xml:space="preserve"> in the 2015 Paris Agreement (</w:t>
      </w:r>
      <w:r w:rsidR="003C06CF" w:rsidRPr="0092458B">
        <w:rPr>
          <w:sz w:val="24"/>
          <w:szCs w:val="24"/>
          <w:lang w:bidi="en-GB"/>
        </w:rPr>
        <w:t>Vogel &amp; Hickel 2023</w:t>
      </w:r>
      <w:r w:rsidR="00420027" w:rsidRPr="0092458B">
        <w:rPr>
          <w:sz w:val="24"/>
          <w:szCs w:val="24"/>
          <w:lang w:bidi="en-GB"/>
        </w:rPr>
        <w:t>; Hubacek et. al. 2021</w:t>
      </w:r>
      <w:r w:rsidR="003C06CF" w:rsidRPr="0092458B">
        <w:rPr>
          <w:sz w:val="24"/>
          <w:szCs w:val="24"/>
          <w:lang w:bidi="en-GB"/>
        </w:rPr>
        <w:t xml:space="preserve">). </w:t>
      </w:r>
      <w:r w:rsidR="0085093F" w:rsidRPr="0092458B">
        <w:rPr>
          <w:sz w:val="24"/>
          <w:szCs w:val="24"/>
          <w:lang w:bidi="en-GB"/>
        </w:rPr>
        <w:t xml:space="preserve">Beyond this, there is no </w:t>
      </w:r>
      <w:r w:rsidRPr="0092458B">
        <w:rPr>
          <w:sz w:val="24"/>
          <w:szCs w:val="24"/>
          <w:lang w:bidi="en-GB"/>
        </w:rPr>
        <w:t xml:space="preserve">wider, </w:t>
      </w:r>
      <w:proofErr w:type="gramStart"/>
      <w:r w:rsidRPr="0092458B">
        <w:rPr>
          <w:sz w:val="24"/>
          <w:szCs w:val="24"/>
          <w:lang w:bidi="en-GB"/>
        </w:rPr>
        <w:t>sustained</w:t>
      </w:r>
      <w:proofErr w:type="gramEnd"/>
      <w:r w:rsidRPr="0092458B">
        <w:rPr>
          <w:sz w:val="24"/>
          <w:szCs w:val="24"/>
          <w:lang w:bidi="en-GB"/>
        </w:rPr>
        <w:t xml:space="preserve"> and absolute decoupling from environmental impacts or resource use (in ‘footprints’, i.e., once trade has been </w:t>
      </w:r>
      <w:r w:rsidRPr="0092458B">
        <w:rPr>
          <w:sz w:val="24"/>
          <w:szCs w:val="24"/>
          <w:lang w:bidi="en-GB"/>
        </w:rPr>
        <w:lastRenderedPageBreak/>
        <w:t xml:space="preserve">taken into account) </w:t>
      </w:r>
      <w:r w:rsidR="00EC0DAB" w:rsidRPr="0092458B">
        <w:rPr>
          <w:sz w:val="24"/>
          <w:szCs w:val="24"/>
          <w:lang w:bidi="en-GB"/>
        </w:rPr>
        <w:t xml:space="preserve">in </w:t>
      </w:r>
      <w:r w:rsidRPr="0092458B">
        <w:rPr>
          <w:sz w:val="24"/>
          <w:szCs w:val="24"/>
          <w:lang w:bidi="en-GB"/>
        </w:rPr>
        <w:t>national economies or the global economy</w:t>
      </w:r>
      <w:r w:rsidR="007529D5" w:rsidRPr="0092458B">
        <w:rPr>
          <w:sz w:val="24"/>
          <w:szCs w:val="24"/>
          <w:lang w:bidi="en-GB"/>
        </w:rPr>
        <w:t xml:space="preserve"> </w:t>
      </w:r>
      <w:r w:rsidR="00EC0DAB" w:rsidRPr="0092458B">
        <w:rPr>
          <w:sz w:val="24"/>
          <w:szCs w:val="24"/>
          <w:lang w:bidi="en-GB"/>
        </w:rPr>
        <w:t xml:space="preserve">as such </w:t>
      </w:r>
      <w:r w:rsidR="007529D5" w:rsidRPr="0092458B">
        <w:rPr>
          <w:sz w:val="24"/>
          <w:szCs w:val="24"/>
          <w:lang w:bidi="en-GB"/>
        </w:rPr>
        <w:t>(</w:t>
      </w:r>
      <w:r w:rsidR="00427E90" w:rsidRPr="0092458B">
        <w:rPr>
          <w:sz w:val="24"/>
          <w:szCs w:val="24"/>
          <w:lang w:bidi="en-GB"/>
        </w:rPr>
        <w:t>Herrington 2021;</w:t>
      </w:r>
      <w:r w:rsidR="00D65C34" w:rsidRPr="0092458B">
        <w:rPr>
          <w:sz w:val="24"/>
          <w:szCs w:val="24"/>
          <w:lang w:bidi="en-GB"/>
        </w:rPr>
        <w:t xml:space="preserve"> </w:t>
      </w:r>
      <w:proofErr w:type="spellStart"/>
      <w:r w:rsidR="00D65C34" w:rsidRPr="0092458B">
        <w:rPr>
          <w:sz w:val="24"/>
          <w:szCs w:val="24"/>
          <w:lang w:bidi="en-GB"/>
        </w:rPr>
        <w:t>Vadén</w:t>
      </w:r>
      <w:proofErr w:type="spellEnd"/>
      <w:r w:rsidR="00D65C34" w:rsidRPr="0092458B">
        <w:rPr>
          <w:sz w:val="24"/>
          <w:szCs w:val="24"/>
          <w:lang w:bidi="en-GB"/>
        </w:rPr>
        <w:t xml:space="preserve"> et. al. 2020; </w:t>
      </w:r>
      <w:r w:rsidR="009E6E48" w:rsidRPr="0092458B">
        <w:rPr>
          <w:sz w:val="24"/>
          <w:szCs w:val="24"/>
          <w:lang w:bidi="en-GB"/>
        </w:rPr>
        <w:t xml:space="preserve">Haberl et. al. 2020; </w:t>
      </w:r>
      <w:r w:rsidR="00B92B0B" w:rsidRPr="0092458B">
        <w:rPr>
          <w:sz w:val="24"/>
          <w:szCs w:val="24"/>
          <w:lang w:bidi="en-GB"/>
        </w:rPr>
        <w:t xml:space="preserve">Hickel &amp; Kallis 2020; </w:t>
      </w:r>
      <w:proofErr w:type="spellStart"/>
      <w:r w:rsidR="00D65C34" w:rsidRPr="0092458B">
        <w:rPr>
          <w:sz w:val="24"/>
          <w:szCs w:val="24"/>
          <w:lang w:bidi="en-GB"/>
        </w:rPr>
        <w:t>Parrique</w:t>
      </w:r>
      <w:proofErr w:type="spellEnd"/>
      <w:r w:rsidR="00D65C34" w:rsidRPr="0092458B">
        <w:rPr>
          <w:sz w:val="24"/>
          <w:szCs w:val="24"/>
          <w:lang w:bidi="en-GB"/>
        </w:rPr>
        <w:t xml:space="preserve"> et. al. 2019</w:t>
      </w:r>
      <w:r w:rsidR="009E6E48" w:rsidRPr="0092458B">
        <w:rPr>
          <w:sz w:val="24"/>
          <w:szCs w:val="24"/>
          <w:lang w:bidi="en-GB"/>
        </w:rPr>
        <w:t xml:space="preserve">; Wiedmann et. al. 2015). </w:t>
      </w:r>
      <w:r w:rsidRPr="0092458B">
        <w:rPr>
          <w:sz w:val="24"/>
          <w:szCs w:val="24"/>
          <w:lang w:bidi="en-GB"/>
        </w:rPr>
        <w:t xml:space="preserve">Efforts based mainly on technology-driven efficiency gains are hampered by strong ‘rebound’ effects (Berner et al., 2022; </w:t>
      </w:r>
      <w:proofErr w:type="spellStart"/>
      <w:r w:rsidRPr="0092458B">
        <w:rPr>
          <w:sz w:val="24"/>
          <w:szCs w:val="24"/>
          <w:lang w:bidi="en-GB"/>
        </w:rPr>
        <w:t>Vadén</w:t>
      </w:r>
      <w:proofErr w:type="spellEnd"/>
      <w:r w:rsidRPr="0092458B">
        <w:rPr>
          <w:sz w:val="24"/>
          <w:szCs w:val="24"/>
          <w:lang w:bidi="en-GB"/>
        </w:rPr>
        <w:t xml:space="preserve"> et al., 2020; </w:t>
      </w:r>
      <w:proofErr w:type="spellStart"/>
      <w:r w:rsidRPr="0092458B">
        <w:rPr>
          <w:sz w:val="24"/>
          <w:szCs w:val="24"/>
          <w:lang w:bidi="en-GB"/>
        </w:rPr>
        <w:t>Parrique</w:t>
      </w:r>
      <w:proofErr w:type="spellEnd"/>
      <w:r w:rsidRPr="0092458B">
        <w:rPr>
          <w:sz w:val="24"/>
          <w:szCs w:val="24"/>
          <w:lang w:bidi="en-GB"/>
        </w:rPr>
        <w:t xml:space="preserve"> et al., 2019), and there are strong limits to the idea of a ‘circular economy’, since </w:t>
      </w:r>
      <w:proofErr w:type="gramStart"/>
      <w:r w:rsidRPr="0092458B">
        <w:rPr>
          <w:sz w:val="24"/>
          <w:szCs w:val="24"/>
          <w:lang w:bidi="en-GB"/>
        </w:rPr>
        <w:t>the vast majority of</w:t>
      </w:r>
      <w:proofErr w:type="gramEnd"/>
      <w:r w:rsidRPr="0092458B">
        <w:rPr>
          <w:sz w:val="24"/>
          <w:szCs w:val="24"/>
          <w:lang w:bidi="en-GB"/>
        </w:rPr>
        <w:t xml:space="preserve"> economic activities rely on new resource inputs (Bianchi &amp; Cordella, 2023; Hickel &amp; Kallis, 2020).</w:t>
      </w:r>
      <w:r w:rsidR="00B92B0B" w:rsidRPr="0092458B">
        <w:rPr>
          <w:sz w:val="24"/>
          <w:szCs w:val="24"/>
          <w:lang w:bidi="en-GB"/>
        </w:rPr>
        <w:tab/>
      </w:r>
      <w:r w:rsidR="00FE07D8" w:rsidRPr="0092458B">
        <w:rPr>
          <w:sz w:val="24"/>
          <w:szCs w:val="24"/>
          <w:lang w:bidi="en-GB"/>
        </w:rPr>
        <w:tab/>
      </w:r>
      <w:r w:rsidR="00FE07D8" w:rsidRPr="0092458B">
        <w:rPr>
          <w:sz w:val="24"/>
          <w:szCs w:val="24"/>
          <w:lang w:bidi="en-GB"/>
        </w:rPr>
        <w:tab/>
      </w:r>
      <w:r w:rsidRPr="0092458B">
        <w:rPr>
          <w:sz w:val="24"/>
          <w:szCs w:val="24"/>
          <w:lang w:bidi="en-GB"/>
        </w:rPr>
        <w:t xml:space="preserve">These </w:t>
      </w:r>
      <w:r w:rsidR="00FE07D8" w:rsidRPr="0092458B">
        <w:rPr>
          <w:sz w:val="24"/>
          <w:szCs w:val="24"/>
          <w:lang w:bidi="en-GB"/>
        </w:rPr>
        <w:t>findings</w:t>
      </w:r>
      <w:r w:rsidRPr="0092458B">
        <w:rPr>
          <w:sz w:val="24"/>
          <w:szCs w:val="24"/>
          <w:lang w:bidi="en-GB"/>
        </w:rPr>
        <w:t xml:space="preserve"> make a strong argument for the aims advocated by degrowth. There are many recent examples of larger groups of </w:t>
      </w:r>
      <w:r w:rsidR="001B792B" w:rsidRPr="0092458B">
        <w:rPr>
          <w:rFonts w:cstheme="minorHAnsi"/>
          <w:sz w:val="24"/>
          <w:szCs w:val="24"/>
          <w:lang w:bidi="en-GB"/>
        </w:rPr>
        <w:t xml:space="preserve">ecosystem or sustainability scientists publishing collective reviews or calls to abandon our reliance on economic growth and directly reduce impactful forms of consumption/production (for instance Obura et al., 2022; Bradshaw et al., 2021; Pihl et al., 2021; </w:t>
      </w:r>
      <w:proofErr w:type="spellStart"/>
      <w:r w:rsidR="001B792B" w:rsidRPr="0092458B">
        <w:rPr>
          <w:rFonts w:cstheme="minorHAnsi"/>
          <w:sz w:val="24"/>
          <w:szCs w:val="24"/>
          <w:lang w:bidi="en-GB"/>
        </w:rPr>
        <w:t>Collste</w:t>
      </w:r>
      <w:proofErr w:type="spellEnd"/>
      <w:r w:rsidR="001B792B" w:rsidRPr="0092458B">
        <w:rPr>
          <w:rFonts w:cstheme="minorHAnsi"/>
          <w:sz w:val="24"/>
          <w:szCs w:val="24"/>
          <w:lang w:bidi="en-GB"/>
        </w:rPr>
        <w:t xml:space="preserve"> et al., 2021; Ripple et al., 2020; Wiedmann et al., 2020). </w:t>
      </w:r>
      <w:r w:rsidRPr="0092458B">
        <w:rPr>
          <w:sz w:val="24"/>
          <w:szCs w:val="24"/>
          <w:lang w:bidi="en-GB"/>
        </w:rPr>
        <w:t xml:space="preserve">The small number of surveys conducted to date among environmental scientists or experts find that clear majorities favour assessments in line with degrowth or a-growth, </w:t>
      </w:r>
      <w:r w:rsidR="00180AAC" w:rsidRPr="0092458B">
        <w:rPr>
          <w:rFonts w:cstheme="minorHAnsi"/>
          <w:sz w:val="24"/>
          <w:szCs w:val="24"/>
          <w:lang w:bidi="en-GB"/>
        </w:rPr>
        <w:t xml:space="preserve">either explicitly or implicitly (King, Savin &amp; Drews, 2023; Lehmann, </w:t>
      </w:r>
      <w:proofErr w:type="spellStart"/>
      <w:r w:rsidR="00180AAC" w:rsidRPr="0092458B">
        <w:rPr>
          <w:rFonts w:cstheme="minorHAnsi"/>
          <w:sz w:val="24"/>
          <w:szCs w:val="24"/>
          <w:lang w:bidi="en-GB"/>
        </w:rPr>
        <w:t>Delbard</w:t>
      </w:r>
      <w:proofErr w:type="spellEnd"/>
      <w:r w:rsidR="00180AAC" w:rsidRPr="0092458B">
        <w:rPr>
          <w:rFonts w:cstheme="minorHAnsi"/>
          <w:sz w:val="24"/>
          <w:szCs w:val="24"/>
          <w:lang w:bidi="en-GB"/>
        </w:rPr>
        <w:t xml:space="preserve"> &amp; Lange, 2022).</w:t>
      </w:r>
      <w:r w:rsidR="00180AAC" w:rsidRPr="0092458B">
        <w:rPr>
          <w:rFonts w:cstheme="minorHAnsi"/>
          <w:sz w:val="24"/>
          <w:szCs w:val="24"/>
          <w:lang w:bidi="en-GB"/>
        </w:rPr>
        <w:tab/>
      </w:r>
      <w:r w:rsidR="00180AAC" w:rsidRPr="0092458B">
        <w:rPr>
          <w:rFonts w:cstheme="minorHAnsi"/>
          <w:sz w:val="24"/>
          <w:szCs w:val="24"/>
          <w:lang w:bidi="en-GB"/>
        </w:rPr>
        <w:tab/>
      </w:r>
      <w:r w:rsidR="00180AAC" w:rsidRPr="0092458B">
        <w:rPr>
          <w:rFonts w:cstheme="minorHAnsi"/>
          <w:sz w:val="24"/>
          <w:szCs w:val="24"/>
          <w:lang w:bidi="en-GB"/>
        </w:rPr>
        <w:tab/>
      </w:r>
      <w:r w:rsidR="00180AAC" w:rsidRPr="0092458B">
        <w:rPr>
          <w:rFonts w:cstheme="minorHAnsi"/>
          <w:sz w:val="24"/>
          <w:szCs w:val="24"/>
          <w:lang w:bidi="en-GB"/>
        </w:rPr>
        <w:tab/>
      </w:r>
      <w:r w:rsidRPr="0092458B">
        <w:rPr>
          <w:sz w:val="24"/>
          <w:szCs w:val="24"/>
          <w:lang w:bidi="en-GB"/>
        </w:rPr>
        <w:t>The normative foundation of degrowth as a ‘movement’, on the other hand, is rooted in various strands of critical theory, and it tends to have strong ideological affinities with the ‘new left’ or left libertarianism. This is based on critiques of growthism as a hegemonic paradigm with impacts beyond the environment, and it embraces critiques of the negative social impact on wellbeing when economic growth is pursued at all costs (</w:t>
      </w:r>
      <w:proofErr w:type="spellStart"/>
      <w:r w:rsidRPr="0092458B">
        <w:rPr>
          <w:sz w:val="24"/>
          <w:szCs w:val="24"/>
          <w:lang w:bidi="en-GB"/>
        </w:rPr>
        <w:t>Parrique</w:t>
      </w:r>
      <w:proofErr w:type="spellEnd"/>
      <w:r w:rsidRPr="0092458B">
        <w:rPr>
          <w:sz w:val="24"/>
          <w:szCs w:val="24"/>
          <w:lang w:bidi="en-GB"/>
        </w:rPr>
        <w:t xml:space="preserve">, 2019; </w:t>
      </w:r>
      <w:proofErr w:type="spellStart"/>
      <w:r w:rsidRPr="0092458B">
        <w:rPr>
          <w:sz w:val="24"/>
          <w:szCs w:val="24"/>
          <w:lang w:bidi="en-GB"/>
        </w:rPr>
        <w:t>Büchs</w:t>
      </w:r>
      <w:proofErr w:type="spellEnd"/>
      <w:r w:rsidRPr="0092458B">
        <w:rPr>
          <w:sz w:val="24"/>
          <w:szCs w:val="24"/>
          <w:lang w:bidi="en-GB"/>
        </w:rPr>
        <w:t xml:space="preserve"> &amp; Koch, 2019; Kallis et al., 2018).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Beneath these lines of thought, degrowth presupposes a shift away from wellbeing based on materialistic and hedonic values, framed within the literature as critiques of the ‘hedonic treadmill’, materialism, consumerism, conspicuous </w:t>
      </w:r>
      <w:proofErr w:type="gramStart"/>
      <w:r w:rsidRPr="0092458B">
        <w:rPr>
          <w:sz w:val="24"/>
          <w:szCs w:val="24"/>
          <w:lang w:bidi="en-GB"/>
        </w:rPr>
        <w:t>consumption</w:t>
      </w:r>
      <w:proofErr w:type="gramEnd"/>
      <w:r w:rsidRPr="0092458B">
        <w:rPr>
          <w:sz w:val="24"/>
          <w:szCs w:val="24"/>
          <w:lang w:bidi="en-GB"/>
        </w:rPr>
        <w:t xml:space="preserve"> or self-centeredness (</w:t>
      </w:r>
      <w:proofErr w:type="spellStart"/>
      <w:r w:rsidRPr="0092458B">
        <w:rPr>
          <w:sz w:val="24"/>
          <w:szCs w:val="24"/>
          <w:lang w:bidi="en-GB"/>
        </w:rPr>
        <w:t>Hirvilammi</w:t>
      </w:r>
      <w:proofErr w:type="spellEnd"/>
      <w:r w:rsidRPr="0092458B">
        <w:rPr>
          <w:sz w:val="24"/>
          <w:szCs w:val="24"/>
          <w:lang w:bidi="en-GB"/>
        </w:rPr>
        <w:t xml:space="preserve"> et al., 2023; Isham et al., 2022; Jackson, 2021; </w:t>
      </w:r>
      <w:proofErr w:type="spellStart"/>
      <w:r w:rsidRPr="0092458B">
        <w:rPr>
          <w:sz w:val="24"/>
          <w:szCs w:val="24"/>
          <w:lang w:bidi="en-GB"/>
        </w:rPr>
        <w:t>Büchs</w:t>
      </w:r>
      <w:proofErr w:type="spellEnd"/>
      <w:r w:rsidRPr="0092458B">
        <w:rPr>
          <w:sz w:val="24"/>
          <w:szCs w:val="24"/>
          <w:lang w:bidi="en-GB"/>
        </w:rPr>
        <w:t xml:space="preserve"> &amp; Koch, 2019). This perspective finds support in analyses of how consumption-driven pursuits of wellbeing provide no further positive (or even negative) effects on happiness and wellbeing in affluent economies (Isham et al., 2022; </w:t>
      </w:r>
      <w:proofErr w:type="spellStart"/>
      <w:r w:rsidRPr="0092458B">
        <w:rPr>
          <w:sz w:val="24"/>
          <w:szCs w:val="24"/>
          <w:lang w:bidi="en-GB"/>
        </w:rPr>
        <w:t>Collste</w:t>
      </w:r>
      <w:proofErr w:type="spellEnd"/>
      <w:r w:rsidRPr="0092458B">
        <w:rPr>
          <w:sz w:val="24"/>
          <w:szCs w:val="24"/>
          <w:lang w:bidi="en-GB"/>
        </w:rPr>
        <w:t xml:space="preserve"> et al., 2021).</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Conversely, degrowth relies on a needs-based (as opposed to a wants-based) conception of wellbeing, as well as related concepts like ‘</w:t>
      </w:r>
      <w:proofErr w:type="spellStart"/>
      <w:r w:rsidRPr="0092458B">
        <w:rPr>
          <w:sz w:val="24"/>
          <w:szCs w:val="24"/>
          <w:lang w:bidi="en-GB"/>
        </w:rPr>
        <w:t>limitarianism</w:t>
      </w:r>
      <w:proofErr w:type="spellEnd"/>
      <w:r w:rsidRPr="0092458B">
        <w:rPr>
          <w:sz w:val="24"/>
          <w:szCs w:val="24"/>
          <w:lang w:bidi="en-GB"/>
        </w:rPr>
        <w:t>’ or ‘sufficiency’ (</w:t>
      </w:r>
      <w:proofErr w:type="spellStart"/>
      <w:r w:rsidRPr="0092458B">
        <w:rPr>
          <w:sz w:val="24"/>
          <w:szCs w:val="24"/>
          <w:lang w:bidi="en-GB"/>
        </w:rPr>
        <w:t>Hirvilammi</w:t>
      </w:r>
      <w:proofErr w:type="spellEnd"/>
      <w:r w:rsidRPr="0092458B">
        <w:rPr>
          <w:sz w:val="24"/>
          <w:szCs w:val="24"/>
          <w:lang w:bidi="en-GB"/>
        </w:rPr>
        <w:t xml:space="preserve"> et al., 2023; Buch-Hansen &amp; Nesterova, 2023; Koch, 2021; </w:t>
      </w:r>
      <w:proofErr w:type="spellStart"/>
      <w:r w:rsidRPr="0092458B">
        <w:rPr>
          <w:sz w:val="24"/>
          <w:szCs w:val="24"/>
          <w:lang w:bidi="en-GB"/>
        </w:rPr>
        <w:t>Büchs</w:t>
      </w:r>
      <w:proofErr w:type="spellEnd"/>
      <w:r w:rsidRPr="0092458B">
        <w:rPr>
          <w:sz w:val="24"/>
          <w:szCs w:val="24"/>
          <w:lang w:bidi="en-GB"/>
        </w:rPr>
        <w:t>, 2021; Bohnenb</w:t>
      </w:r>
      <w:r w:rsidR="00C47F15">
        <w:rPr>
          <w:sz w:val="24"/>
          <w:szCs w:val="24"/>
          <w:lang w:bidi="en-GB"/>
        </w:rPr>
        <w:t>e</w:t>
      </w:r>
      <w:r w:rsidRPr="0092458B">
        <w:rPr>
          <w:sz w:val="24"/>
          <w:szCs w:val="24"/>
          <w:lang w:bidi="en-GB"/>
        </w:rPr>
        <w:t xml:space="preserve">rger, 2020; </w:t>
      </w:r>
      <w:proofErr w:type="spellStart"/>
      <w:r w:rsidRPr="0092458B">
        <w:rPr>
          <w:sz w:val="24"/>
          <w:szCs w:val="24"/>
          <w:lang w:bidi="en-GB"/>
        </w:rPr>
        <w:lastRenderedPageBreak/>
        <w:t>Büchs</w:t>
      </w:r>
      <w:proofErr w:type="spellEnd"/>
      <w:r w:rsidRPr="0092458B">
        <w:rPr>
          <w:sz w:val="24"/>
          <w:szCs w:val="24"/>
          <w:lang w:bidi="en-GB"/>
        </w:rPr>
        <w:t xml:space="preserve"> &amp; Koch, 2019). It also presupposes a popular or cultural shift from hedonic to </w:t>
      </w:r>
      <w:proofErr w:type="spellStart"/>
      <w:r w:rsidRPr="0092458B">
        <w:rPr>
          <w:sz w:val="24"/>
          <w:szCs w:val="24"/>
          <w:lang w:bidi="en-GB"/>
        </w:rPr>
        <w:t>eudaimonic</w:t>
      </w:r>
      <w:proofErr w:type="spellEnd"/>
      <w:r w:rsidRPr="0092458B">
        <w:rPr>
          <w:sz w:val="24"/>
          <w:szCs w:val="24"/>
          <w:lang w:bidi="en-GB"/>
        </w:rPr>
        <w:t xml:space="preserve"> conceptions of wellbeing (Isham et al., 2022; Jackson, 2021; </w:t>
      </w:r>
      <w:proofErr w:type="spellStart"/>
      <w:r w:rsidRPr="0092458B">
        <w:rPr>
          <w:sz w:val="24"/>
          <w:szCs w:val="24"/>
          <w:lang w:bidi="en-GB"/>
        </w:rPr>
        <w:t>Büchs</w:t>
      </w:r>
      <w:proofErr w:type="spellEnd"/>
      <w:r w:rsidRPr="0092458B">
        <w:rPr>
          <w:sz w:val="24"/>
          <w:szCs w:val="24"/>
          <w:lang w:bidi="en-GB"/>
        </w:rPr>
        <w:t xml:space="preserve">, 2021; </w:t>
      </w:r>
      <w:proofErr w:type="spellStart"/>
      <w:r w:rsidRPr="0092458B">
        <w:rPr>
          <w:sz w:val="24"/>
          <w:szCs w:val="24"/>
          <w:lang w:bidi="en-GB"/>
        </w:rPr>
        <w:t>Büchs</w:t>
      </w:r>
      <w:proofErr w:type="spellEnd"/>
      <w:r w:rsidRPr="0092458B">
        <w:rPr>
          <w:sz w:val="24"/>
          <w:szCs w:val="24"/>
          <w:lang w:bidi="en-GB"/>
        </w:rPr>
        <w:t xml:space="preserve"> &amp; Koch, 2019; Lamb &amp; Steinberger, 2017). Eudaimonia is the classic Aristotelian idea of living in accordance with personal values and fulfilling one’s potential as a virtuous (social) citizen, whereas hedonism concerns the simpler and more immediate maximisation of pleasure. This distinction has been widely used in psychological research on wellbeing and happiness (Ryff, 2017, 1989). </w:t>
      </w:r>
      <w:r w:rsidRPr="0092458B">
        <w:rPr>
          <w:sz w:val="24"/>
          <w:szCs w:val="24"/>
          <w:lang w:bidi="en-GB"/>
        </w:rPr>
        <w:tab/>
      </w:r>
      <w:r w:rsidRPr="0092458B">
        <w:rPr>
          <w:sz w:val="24"/>
          <w:szCs w:val="24"/>
          <w:lang w:bidi="en-GB"/>
        </w:rPr>
        <w:tab/>
        <w:t xml:space="preserve">The literature on how public welfare provision can reduce hedonistic, </w:t>
      </w:r>
      <w:proofErr w:type="gramStart"/>
      <w:r w:rsidRPr="0092458B">
        <w:rPr>
          <w:sz w:val="24"/>
          <w:szCs w:val="24"/>
          <w:lang w:bidi="en-GB"/>
        </w:rPr>
        <w:t>positional</w:t>
      </w:r>
      <w:proofErr w:type="gramEnd"/>
      <w:r w:rsidRPr="0092458B">
        <w:rPr>
          <w:sz w:val="24"/>
          <w:szCs w:val="24"/>
          <w:lang w:bidi="en-GB"/>
        </w:rPr>
        <w:t xml:space="preserve"> or status-driven consumption often makes references to needs-based conceptions of welfare and wellbeing, as elaborated by Max-Neef (1991) and Doyal &amp; Gough (1991). Needs-satisfiers and objective aspects of wellbeing can be defined in terms of nutrition, housing, healthcare, security, etc. The same concerns and ideas are reflected in the emerging literature on ‘foundational economics’, in which certain needs are </w:t>
      </w:r>
      <w:proofErr w:type="spellStart"/>
      <w:r w:rsidRPr="0092458B">
        <w:rPr>
          <w:sz w:val="24"/>
          <w:szCs w:val="24"/>
          <w:lang w:bidi="en-GB"/>
        </w:rPr>
        <w:t>decommodified</w:t>
      </w:r>
      <w:proofErr w:type="spellEnd"/>
      <w:r w:rsidRPr="0092458B">
        <w:rPr>
          <w:sz w:val="24"/>
          <w:szCs w:val="24"/>
          <w:lang w:bidi="en-GB"/>
        </w:rPr>
        <w:t xml:space="preserve"> and prioritised for public or collective provision (if not always publicly financed) (Novy, 2022; Wahlund &amp; Hansen, 2022). </w:t>
      </w:r>
      <w:r w:rsidRPr="0092458B">
        <w:rPr>
          <w:sz w:val="24"/>
          <w:szCs w:val="24"/>
          <w:lang w:bidi="en-GB"/>
        </w:rPr>
        <w:tab/>
      </w:r>
      <w:r w:rsidRPr="0092458B">
        <w:rPr>
          <w:sz w:val="24"/>
          <w:szCs w:val="24"/>
          <w:lang w:bidi="en-GB"/>
        </w:rPr>
        <w:tab/>
        <w:t>These origins of degrowth have led to various political aims in terms of democracy, international politics, labour and working conditions. This paper focuses on issues related to promoting redistribution and needs provision in a political economy of degrowth.</w:t>
      </w:r>
    </w:p>
    <w:p w14:paraId="2B50E1D4" w14:textId="7F8BCC96" w:rsidR="000B3DD1" w:rsidRPr="0092458B" w:rsidRDefault="00F937D5" w:rsidP="00022080">
      <w:pPr>
        <w:spacing w:line="360" w:lineRule="auto"/>
        <w:rPr>
          <w:sz w:val="24"/>
          <w:szCs w:val="24"/>
          <w:lang w:val="en-US"/>
        </w:rPr>
      </w:pPr>
      <w:r w:rsidRPr="0092458B">
        <w:rPr>
          <w:sz w:val="24"/>
          <w:szCs w:val="24"/>
          <w:lang w:bidi="en-GB"/>
        </w:rPr>
        <w:tab/>
      </w:r>
      <w:r w:rsidRPr="0092458B">
        <w:rPr>
          <w:sz w:val="24"/>
          <w:szCs w:val="24"/>
          <w:lang w:bidi="en-GB"/>
        </w:rPr>
        <w:tab/>
      </w:r>
      <w:r w:rsidRPr="0092458B">
        <w:rPr>
          <w:sz w:val="24"/>
          <w:szCs w:val="24"/>
          <w:lang w:bidi="en-GB"/>
        </w:rPr>
        <w:tab/>
        <w:t xml:space="preserve"> </w:t>
      </w:r>
    </w:p>
    <w:p w14:paraId="24D2D0DF" w14:textId="05195FD7" w:rsidR="008471ED" w:rsidRPr="0092458B" w:rsidRDefault="00C3714C" w:rsidP="00D8112B">
      <w:pPr>
        <w:spacing w:line="360" w:lineRule="auto"/>
        <w:rPr>
          <w:b/>
          <w:bCs/>
          <w:sz w:val="24"/>
          <w:szCs w:val="24"/>
          <w:lang w:val="en-US"/>
        </w:rPr>
      </w:pPr>
      <w:r w:rsidRPr="0092458B">
        <w:rPr>
          <w:b/>
          <w:sz w:val="28"/>
          <w:szCs w:val="28"/>
          <w:lang w:bidi="en-GB"/>
        </w:rPr>
        <w:t xml:space="preserve">Public </w:t>
      </w:r>
      <w:r w:rsidR="008D2EE5" w:rsidRPr="0092458B">
        <w:rPr>
          <w:b/>
          <w:sz w:val="28"/>
          <w:szCs w:val="28"/>
          <w:lang w:bidi="en-GB"/>
        </w:rPr>
        <w:t>decommodification</w:t>
      </w:r>
      <w:r w:rsidRPr="0092458B">
        <w:rPr>
          <w:b/>
          <w:sz w:val="28"/>
          <w:szCs w:val="28"/>
          <w:lang w:bidi="en-GB"/>
        </w:rPr>
        <w:t xml:space="preserve">: Enabling degrowth or growth dependency? </w:t>
      </w:r>
    </w:p>
    <w:p w14:paraId="289FD962" w14:textId="43760169" w:rsidR="002852B6" w:rsidRPr="0092458B" w:rsidRDefault="00060F8C" w:rsidP="00D8112B">
      <w:pPr>
        <w:spacing w:line="360" w:lineRule="auto"/>
        <w:rPr>
          <w:iCs/>
          <w:sz w:val="24"/>
          <w:szCs w:val="24"/>
          <w:lang w:val="en-US"/>
        </w:rPr>
      </w:pPr>
      <w:r w:rsidRPr="0092458B">
        <w:rPr>
          <w:sz w:val="24"/>
          <w:szCs w:val="24"/>
          <w:lang w:bidi="en-GB"/>
        </w:rPr>
        <w:t xml:space="preserve">This section discusses the basic challenge of expanding </w:t>
      </w:r>
      <w:proofErr w:type="spellStart"/>
      <w:r w:rsidRPr="0092458B">
        <w:rPr>
          <w:sz w:val="24"/>
          <w:szCs w:val="24"/>
          <w:lang w:bidi="en-GB"/>
        </w:rPr>
        <w:t>decommodifying</w:t>
      </w:r>
      <w:proofErr w:type="spellEnd"/>
      <w:r w:rsidRPr="0092458B">
        <w:rPr>
          <w:sz w:val="24"/>
          <w:szCs w:val="24"/>
          <w:lang w:bidi="en-GB"/>
        </w:rPr>
        <w:t xml:space="preserve"> social policies when the </w:t>
      </w:r>
      <w:r w:rsidR="00195B27" w:rsidRPr="0092458B">
        <w:rPr>
          <w:sz w:val="24"/>
          <w:szCs w:val="24"/>
          <w:lang w:bidi="en-GB"/>
        </w:rPr>
        <w:t>contemporary</w:t>
      </w:r>
      <w:r w:rsidRPr="0092458B">
        <w:rPr>
          <w:sz w:val="24"/>
          <w:szCs w:val="24"/>
          <w:lang w:bidi="en-GB"/>
        </w:rPr>
        <w:t xml:space="preserve"> welfare state has nourished its own growth dependencies. The degrowth literature commonly envisages an expansion of public welfare services, </w:t>
      </w:r>
      <w:proofErr w:type="gramStart"/>
      <w:r w:rsidRPr="0092458B">
        <w:rPr>
          <w:sz w:val="24"/>
          <w:szCs w:val="24"/>
          <w:lang w:bidi="en-GB"/>
        </w:rPr>
        <w:t>transfers</w:t>
      </w:r>
      <w:proofErr w:type="gramEnd"/>
      <w:r w:rsidRPr="0092458B">
        <w:rPr>
          <w:sz w:val="24"/>
          <w:szCs w:val="24"/>
          <w:lang w:bidi="en-GB"/>
        </w:rPr>
        <w:t xml:space="preserve"> and progressive taxes. Such social policies must also become growth independent.</w:t>
      </w:r>
      <w:r w:rsidRPr="0092458B">
        <w:rPr>
          <w:sz w:val="24"/>
          <w:szCs w:val="24"/>
          <w:lang w:bidi="en-GB"/>
        </w:rPr>
        <w:tab/>
      </w:r>
      <w:r w:rsidRPr="0092458B">
        <w:rPr>
          <w:sz w:val="24"/>
          <w:szCs w:val="24"/>
          <w:lang w:bidi="en-GB"/>
        </w:rPr>
        <w:tab/>
      </w:r>
      <w:r w:rsidRPr="0092458B">
        <w:rPr>
          <w:sz w:val="24"/>
          <w:szCs w:val="24"/>
          <w:lang w:bidi="en-GB"/>
        </w:rPr>
        <w:tab/>
      </w:r>
      <w:r w:rsidR="00CC7430" w:rsidRPr="0092458B">
        <w:rPr>
          <w:sz w:val="24"/>
          <w:szCs w:val="24"/>
          <w:lang w:bidi="en-GB"/>
        </w:rPr>
        <w:tab/>
      </w:r>
      <w:r w:rsidRPr="0092458B">
        <w:rPr>
          <w:sz w:val="24"/>
          <w:szCs w:val="24"/>
          <w:lang w:bidi="en-GB"/>
        </w:rPr>
        <w:t xml:space="preserve">The specific social or welfare policy proposals propagated and discussed by the literature include caps or ceilings on maximum income and wealth, as well as minimum income or basic income and extensive provision of public services across a broader range of needs than would typically be covered by contemporary welfare states (see McGann &amp; Murphy, 2023; Coote, 2022, Gough, 2022; </w:t>
      </w:r>
      <w:proofErr w:type="spellStart"/>
      <w:r w:rsidRPr="0092458B">
        <w:rPr>
          <w:sz w:val="24"/>
          <w:szCs w:val="24"/>
          <w:lang w:bidi="en-GB"/>
        </w:rPr>
        <w:t>Büchs</w:t>
      </w:r>
      <w:proofErr w:type="spellEnd"/>
      <w:r w:rsidRPr="0092458B">
        <w:rPr>
          <w:sz w:val="24"/>
          <w:szCs w:val="24"/>
          <w:lang w:bidi="en-GB"/>
        </w:rPr>
        <w:t>, 2021; Koch, 2021; Walker, Druckman &amp; Jackson, 2021; Bohnenb</w:t>
      </w:r>
      <w:r w:rsidR="00C47F15">
        <w:rPr>
          <w:sz w:val="24"/>
          <w:szCs w:val="24"/>
          <w:lang w:bidi="en-GB"/>
        </w:rPr>
        <w:t>e</w:t>
      </w:r>
      <w:r w:rsidRPr="0092458B">
        <w:rPr>
          <w:sz w:val="24"/>
          <w:szCs w:val="24"/>
          <w:lang w:bidi="en-GB"/>
        </w:rPr>
        <w:t xml:space="preserve">rger, 2020; Hartley, van den Bergh &amp; Kallis, 2020; </w:t>
      </w:r>
      <w:proofErr w:type="spellStart"/>
      <w:r w:rsidRPr="0092458B">
        <w:rPr>
          <w:sz w:val="24"/>
          <w:szCs w:val="24"/>
          <w:lang w:bidi="en-GB"/>
        </w:rPr>
        <w:t>Hirvilammi</w:t>
      </w:r>
      <w:proofErr w:type="spellEnd"/>
      <w:r w:rsidRPr="0092458B">
        <w:rPr>
          <w:sz w:val="24"/>
          <w:szCs w:val="24"/>
          <w:lang w:bidi="en-GB"/>
        </w:rPr>
        <w:t xml:space="preserve">, 2020; </w:t>
      </w:r>
      <w:proofErr w:type="spellStart"/>
      <w:r w:rsidRPr="0092458B">
        <w:rPr>
          <w:sz w:val="24"/>
          <w:szCs w:val="24"/>
          <w:lang w:bidi="en-GB"/>
        </w:rPr>
        <w:t>Hirvilammi</w:t>
      </w:r>
      <w:proofErr w:type="spellEnd"/>
      <w:r w:rsidRPr="0092458B">
        <w:rPr>
          <w:sz w:val="24"/>
          <w:szCs w:val="24"/>
          <w:lang w:bidi="en-GB"/>
        </w:rPr>
        <w:t xml:space="preserve"> &amp; Koch, 2020). For Daly (2007), politically chosen maximum and minimum income levels were a logical implication in a </w:t>
      </w:r>
      <w:r w:rsidRPr="0092458B">
        <w:rPr>
          <w:sz w:val="24"/>
          <w:szCs w:val="24"/>
          <w:lang w:bidi="en-GB"/>
        </w:rPr>
        <w:lastRenderedPageBreak/>
        <w:t xml:space="preserve">realised steady-state economy. Altogether, this amounts to radical, policy-led decommodification. </w:t>
      </w:r>
      <w:r w:rsidRPr="0092458B">
        <w:rPr>
          <w:sz w:val="24"/>
          <w:szCs w:val="24"/>
          <w:lang w:bidi="en-GB"/>
        </w:rPr>
        <w:tab/>
        <w:t xml:space="preserve">In this section, we will primarily discuss policies concerning welfare provision and redistribution, but the extensive reviews by Fitzpatrick, </w:t>
      </w:r>
      <w:proofErr w:type="spellStart"/>
      <w:r w:rsidRPr="0092458B">
        <w:rPr>
          <w:sz w:val="24"/>
          <w:szCs w:val="24"/>
          <w:lang w:bidi="en-GB"/>
        </w:rPr>
        <w:t>Parrique</w:t>
      </w:r>
      <w:proofErr w:type="spellEnd"/>
      <w:r w:rsidRPr="0092458B">
        <w:rPr>
          <w:sz w:val="24"/>
          <w:szCs w:val="24"/>
          <w:lang w:bidi="en-GB"/>
        </w:rPr>
        <w:t xml:space="preserve"> &amp; Cosme (2022), </w:t>
      </w:r>
      <w:proofErr w:type="spellStart"/>
      <w:r w:rsidRPr="0092458B">
        <w:rPr>
          <w:sz w:val="24"/>
          <w:szCs w:val="24"/>
          <w:lang w:bidi="en-GB"/>
        </w:rPr>
        <w:t>Parrique</w:t>
      </w:r>
      <w:proofErr w:type="spellEnd"/>
      <w:r w:rsidRPr="0092458B">
        <w:rPr>
          <w:sz w:val="24"/>
          <w:szCs w:val="24"/>
          <w:lang w:bidi="en-GB"/>
        </w:rPr>
        <w:t xml:space="preserve"> (2019) and Cosme, Santos &amp; O’Neill (2017) identify </w:t>
      </w:r>
      <w:proofErr w:type="gramStart"/>
      <w:r w:rsidRPr="0092458B">
        <w:rPr>
          <w:sz w:val="24"/>
          <w:szCs w:val="24"/>
          <w:lang w:bidi="en-GB"/>
        </w:rPr>
        <w:t>a number of</w:t>
      </w:r>
      <w:proofErr w:type="gramEnd"/>
      <w:r w:rsidRPr="0092458B">
        <w:rPr>
          <w:sz w:val="24"/>
          <w:szCs w:val="24"/>
          <w:lang w:bidi="en-GB"/>
        </w:rPr>
        <w:t xml:space="preserve"> other core policy proposals in the literature. These include a reduction in working hours, job guarantees, caps on resource use and emissions, not-for-profit cooperatives, deliberative forums, ‘reclaiming’ the public commons, </w:t>
      </w:r>
      <w:proofErr w:type="gramStart"/>
      <w:r w:rsidRPr="0092458B">
        <w:rPr>
          <w:sz w:val="24"/>
          <w:szCs w:val="24"/>
          <w:lang w:bidi="en-GB"/>
        </w:rPr>
        <w:t>ecovillages</w:t>
      </w:r>
      <w:proofErr w:type="gramEnd"/>
      <w:r w:rsidRPr="0092458B">
        <w:rPr>
          <w:sz w:val="24"/>
          <w:szCs w:val="24"/>
          <w:lang w:bidi="en-GB"/>
        </w:rPr>
        <w:t xml:space="preserve"> and housing cooperatives, which we will return to in the next section. </w:t>
      </w:r>
      <w:r w:rsidRPr="0092458B">
        <w:rPr>
          <w:sz w:val="24"/>
          <w:szCs w:val="24"/>
          <w:lang w:bidi="en-GB"/>
        </w:rPr>
        <w:tab/>
      </w:r>
      <w:r w:rsidRPr="0092458B">
        <w:rPr>
          <w:sz w:val="24"/>
          <w:szCs w:val="24"/>
          <w:lang w:bidi="en-GB"/>
        </w:rPr>
        <w:tab/>
        <w:t xml:space="preserve">The overall policy direction is neatly encapsulated by discussions on universal basic income (UBI) and universal basic services (UBS) and how they can be combined or supplement each other in a degrowth economy (Coote, 2022; </w:t>
      </w:r>
      <w:proofErr w:type="spellStart"/>
      <w:r w:rsidRPr="0092458B">
        <w:rPr>
          <w:sz w:val="24"/>
          <w:szCs w:val="24"/>
          <w:lang w:bidi="en-GB"/>
        </w:rPr>
        <w:t>Büchs</w:t>
      </w:r>
      <w:proofErr w:type="spellEnd"/>
      <w:r w:rsidRPr="0092458B">
        <w:rPr>
          <w:sz w:val="24"/>
          <w:szCs w:val="24"/>
          <w:lang w:bidi="en-GB"/>
        </w:rPr>
        <w:t xml:space="preserve">, 2021; </w:t>
      </w:r>
      <w:proofErr w:type="spellStart"/>
      <w:r w:rsidRPr="0092458B">
        <w:rPr>
          <w:sz w:val="24"/>
          <w:szCs w:val="24"/>
          <w:lang w:bidi="en-GB"/>
        </w:rPr>
        <w:t>Mcthey</w:t>
      </w:r>
      <w:proofErr w:type="spellEnd"/>
      <w:r w:rsidRPr="0092458B">
        <w:rPr>
          <w:sz w:val="24"/>
          <w:szCs w:val="24"/>
          <w:lang w:bidi="en-GB"/>
        </w:rPr>
        <w:t xml:space="preserve"> Gann &amp; Murphy, 2021). Bohnenb</w:t>
      </w:r>
      <w:r w:rsidR="00C47F15">
        <w:rPr>
          <w:sz w:val="24"/>
          <w:szCs w:val="24"/>
          <w:lang w:bidi="en-GB"/>
        </w:rPr>
        <w:t>e</w:t>
      </w:r>
      <w:r w:rsidRPr="0092458B">
        <w:rPr>
          <w:sz w:val="24"/>
          <w:szCs w:val="24"/>
          <w:lang w:bidi="en-GB"/>
        </w:rPr>
        <w:t xml:space="preserve">rger (2020) distinguishes vouchers for various goods or services as a distinct policy option in between UBI and UBS. Universal basic income has a centuries-long history in political thought outside of degrowth (Ketterer, 2021; Standing, 2017), but has accompanied the </w:t>
      </w:r>
      <w:proofErr w:type="spellStart"/>
      <w:r w:rsidRPr="0092458B">
        <w:rPr>
          <w:sz w:val="24"/>
          <w:szCs w:val="24"/>
          <w:lang w:bidi="en-GB"/>
        </w:rPr>
        <w:t>ecosocialist</w:t>
      </w:r>
      <w:proofErr w:type="spellEnd"/>
      <w:r w:rsidRPr="0092458B">
        <w:rPr>
          <w:sz w:val="24"/>
          <w:szCs w:val="24"/>
          <w:lang w:bidi="en-GB"/>
        </w:rPr>
        <w:t xml:space="preserve"> origins of degrowth since the 1970s (Gorz, 1994). The concept of UBS embodies more recent ideas of how to ensure strong welfare services. </w:t>
      </w:r>
      <w:r w:rsidR="00A83838" w:rsidRPr="0092458B">
        <w:rPr>
          <w:sz w:val="24"/>
          <w:szCs w:val="24"/>
          <w:lang w:bidi="en-GB"/>
        </w:rPr>
        <w:tab/>
      </w:r>
      <w:r w:rsidR="00A83838" w:rsidRPr="0092458B">
        <w:rPr>
          <w:sz w:val="24"/>
          <w:szCs w:val="24"/>
          <w:lang w:bidi="en-GB"/>
        </w:rPr>
        <w:tab/>
      </w:r>
      <w:r w:rsidR="00A83838" w:rsidRPr="0092458B">
        <w:rPr>
          <w:sz w:val="24"/>
          <w:szCs w:val="24"/>
          <w:lang w:bidi="en-GB"/>
        </w:rPr>
        <w:tab/>
      </w:r>
      <w:r w:rsidR="00A83838" w:rsidRPr="0092458B">
        <w:rPr>
          <w:sz w:val="24"/>
          <w:szCs w:val="24"/>
          <w:lang w:bidi="en-GB"/>
        </w:rPr>
        <w:tab/>
      </w:r>
      <w:r w:rsidRPr="0092458B">
        <w:rPr>
          <w:sz w:val="24"/>
          <w:szCs w:val="24"/>
          <w:lang w:bidi="en-GB"/>
        </w:rPr>
        <w:t>Both UBI and UBS can be discussed alongside their different environmental and social advantages. While UBI affects individual consumption, UBS concerns the production side of the economy and relies on the political identification of needs that are provided and financed (partly) by the public (</w:t>
      </w:r>
      <w:proofErr w:type="spellStart"/>
      <w:r w:rsidRPr="0092458B">
        <w:rPr>
          <w:sz w:val="24"/>
          <w:szCs w:val="24"/>
          <w:lang w:bidi="en-GB"/>
        </w:rPr>
        <w:t>Büchs</w:t>
      </w:r>
      <w:proofErr w:type="spellEnd"/>
      <w:r w:rsidRPr="0092458B">
        <w:rPr>
          <w:sz w:val="24"/>
          <w:szCs w:val="24"/>
          <w:lang w:bidi="en-GB"/>
        </w:rPr>
        <w:t>, 2021). Furthermore, UBI is rooted in normative ideals concerned with emancipation and autonomy (Ketterer, 2021), whereas UBS perhaps speaks more directly to the needs-oriented conception of wellbeing with lower resource footprints, as outlined above (</w:t>
      </w:r>
      <w:proofErr w:type="spellStart"/>
      <w:r w:rsidRPr="0092458B">
        <w:rPr>
          <w:sz w:val="24"/>
          <w:szCs w:val="24"/>
          <w:lang w:bidi="en-GB"/>
        </w:rPr>
        <w:t>Büchs</w:t>
      </w:r>
      <w:proofErr w:type="spellEnd"/>
      <w:r w:rsidRPr="0092458B">
        <w:rPr>
          <w:sz w:val="24"/>
          <w:szCs w:val="24"/>
          <w:lang w:bidi="en-GB"/>
        </w:rPr>
        <w:t>, 2021; Bohnenb</w:t>
      </w:r>
      <w:r w:rsidR="00C47F15">
        <w:rPr>
          <w:sz w:val="24"/>
          <w:szCs w:val="24"/>
          <w:lang w:bidi="en-GB"/>
        </w:rPr>
        <w:t>e</w:t>
      </w:r>
      <w:r w:rsidRPr="0092458B">
        <w:rPr>
          <w:sz w:val="24"/>
          <w:szCs w:val="24"/>
          <w:lang w:bidi="en-GB"/>
        </w:rPr>
        <w:t xml:space="preserve">rger, 2020). Universal basic services directly </w:t>
      </w:r>
      <w:proofErr w:type="gramStart"/>
      <w:r w:rsidRPr="0092458B">
        <w:rPr>
          <w:sz w:val="24"/>
          <w:szCs w:val="24"/>
          <w:lang w:bidi="en-GB"/>
        </w:rPr>
        <w:t>seeks</w:t>
      </w:r>
      <w:proofErr w:type="gramEnd"/>
      <w:r w:rsidRPr="0092458B">
        <w:rPr>
          <w:sz w:val="24"/>
          <w:szCs w:val="24"/>
          <w:lang w:bidi="en-GB"/>
        </w:rPr>
        <w:t xml:space="preserve"> to elaborate how relatively universal and satiable (but also non-substitutable) needs can be translated to policy fields such as housing, health, education, transport and nutrition, etc. (Bohnenb</w:t>
      </w:r>
      <w:r w:rsidR="00C47F15">
        <w:rPr>
          <w:sz w:val="24"/>
          <w:szCs w:val="24"/>
          <w:lang w:bidi="en-GB"/>
        </w:rPr>
        <w:t>e</w:t>
      </w:r>
      <w:r w:rsidRPr="0092458B">
        <w:rPr>
          <w:sz w:val="24"/>
          <w:szCs w:val="24"/>
          <w:lang w:bidi="en-GB"/>
        </w:rPr>
        <w:t xml:space="preserve">rger, 2020; </w:t>
      </w:r>
      <w:proofErr w:type="spellStart"/>
      <w:r w:rsidRPr="0092458B">
        <w:rPr>
          <w:sz w:val="24"/>
          <w:szCs w:val="24"/>
          <w:lang w:bidi="en-GB"/>
        </w:rPr>
        <w:t>Büchs</w:t>
      </w:r>
      <w:proofErr w:type="spellEnd"/>
      <w:r w:rsidRPr="0092458B">
        <w:rPr>
          <w:sz w:val="24"/>
          <w:szCs w:val="24"/>
          <w:lang w:bidi="en-GB"/>
        </w:rPr>
        <w:t xml:space="preserve"> &amp; Koch, 2019; Lamb &amp; Steinberger, 2017). It does not necessarily imply fully publicly financed and delivered services in areas where welfare states do not do so today (Coote, 2022; Bohnenb</w:t>
      </w:r>
      <w:r w:rsidR="00C47F15">
        <w:rPr>
          <w:sz w:val="24"/>
          <w:szCs w:val="24"/>
          <w:lang w:bidi="en-GB"/>
        </w:rPr>
        <w:t>e</w:t>
      </w:r>
      <w:r w:rsidRPr="0092458B">
        <w:rPr>
          <w:sz w:val="24"/>
          <w:szCs w:val="24"/>
          <w:lang w:bidi="en-GB"/>
        </w:rPr>
        <w:t xml:space="preserve">rger, 2020). This approach is elaborated further in the literature on ‘foundational </w:t>
      </w:r>
      <w:proofErr w:type="gramStart"/>
      <w:r w:rsidRPr="0092458B">
        <w:rPr>
          <w:sz w:val="24"/>
          <w:szCs w:val="24"/>
          <w:lang w:bidi="en-GB"/>
        </w:rPr>
        <w:t>economics’</w:t>
      </w:r>
      <w:proofErr w:type="gramEnd"/>
      <w:r w:rsidRPr="0092458B">
        <w:rPr>
          <w:sz w:val="24"/>
          <w:szCs w:val="24"/>
          <w:lang w:bidi="en-GB"/>
        </w:rPr>
        <w:t xml:space="preserve">, where social licensing entails that some services or public infrastructures are not necessarily financed or even delivered by public entities. Instead, private companies </w:t>
      </w:r>
      <w:proofErr w:type="gramStart"/>
      <w:r w:rsidRPr="0092458B">
        <w:rPr>
          <w:sz w:val="24"/>
          <w:szCs w:val="24"/>
          <w:lang w:bidi="en-GB"/>
        </w:rPr>
        <w:t>enter into</w:t>
      </w:r>
      <w:proofErr w:type="gramEnd"/>
      <w:r w:rsidRPr="0092458B">
        <w:rPr>
          <w:sz w:val="24"/>
          <w:szCs w:val="24"/>
          <w:lang w:bidi="en-GB"/>
        </w:rPr>
        <w:t xml:space="preserve"> formal, reciprocal obligations to meet certain standards or otherwise offer social returns to the local areas in which </w:t>
      </w:r>
      <w:r w:rsidRPr="0092458B">
        <w:rPr>
          <w:sz w:val="24"/>
          <w:szCs w:val="24"/>
          <w:lang w:bidi="en-GB"/>
        </w:rPr>
        <w:lastRenderedPageBreak/>
        <w:t>they are based (Novy, 2022; Wahlund &amp; Hansen, 2022).</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There is research to support that equality and </w:t>
      </w:r>
      <w:proofErr w:type="spellStart"/>
      <w:r w:rsidRPr="0092458B">
        <w:rPr>
          <w:sz w:val="24"/>
          <w:szCs w:val="24"/>
          <w:lang w:bidi="en-GB"/>
        </w:rPr>
        <w:t>decommodified</w:t>
      </w:r>
      <w:proofErr w:type="spellEnd"/>
      <w:r w:rsidRPr="0092458B">
        <w:rPr>
          <w:sz w:val="24"/>
          <w:szCs w:val="24"/>
          <w:lang w:bidi="en-GB"/>
        </w:rPr>
        <w:t xml:space="preserve"> service provision make it easier to reduce resource use. More equal economies and countries with better public service provision exhibit weaker links between resource use and various indicators of needs and wellbeing (Vogel et al., 2022). A higher level of inequality means that more energy is needed to ensure a decent standard of living for a broader share of the population (Millward-Hopkins, 2022). These studies run parallel to widely disseminated analyses of how ‘carbon inequality’ mirrors economic inequality, or how emissions are disproportionately driven by the richest individuals across and within countries (Chancel et al., 2023, 2022; Gore, 2021). Previous studies into healthcare provision have highlighted that public procurement and provision may be substantially more resource efficient than private solutions for the same services (Bailey, 2015). </w:t>
      </w:r>
      <w:r w:rsidRPr="0092458B">
        <w:rPr>
          <w:sz w:val="24"/>
          <w:szCs w:val="24"/>
          <w:lang w:bidi="en-GB"/>
        </w:rPr>
        <w:tab/>
      </w:r>
      <w:r w:rsidRPr="0092458B">
        <w:rPr>
          <w:sz w:val="24"/>
          <w:szCs w:val="24"/>
          <w:lang w:bidi="en-GB"/>
        </w:rPr>
        <w:tab/>
        <w:t xml:space="preserve">In short, it is possible to achieve security and wellbeing at lower levels of resource use, although equality and wellbeing in rich economies presently emerges as equality of unsustainably high levels of consumption (Garcia-Garcia, Buendia &amp; Carpintero, 2022; </w:t>
      </w:r>
      <w:proofErr w:type="spellStart"/>
      <w:r w:rsidRPr="0092458B">
        <w:rPr>
          <w:sz w:val="24"/>
          <w:szCs w:val="24"/>
          <w:lang w:bidi="en-GB"/>
        </w:rPr>
        <w:t>Ottelin</w:t>
      </w:r>
      <w:proofErr w:type="spellEnd"/>
      <w:r w:rsidRPr="0092458B">
        <w:rPr>
          <w:sz w:val="24"/>
          <w:szCs w:val="24"/>
          <w:lang w:bidi="en-GB"/>
        </w:rPr>
        <w:t xml:space="preserve">, Heinonen &amp; Junnila, 2018; Fritz &amp; Koch, 2016). In addition to the impact on resource use, research has sought to explain the negative links between inequality and psychosocial aspects of wellbeing, such as happiness and social trust. However, consensus has not yet been reached on the independent effects of economic inequality versus other drivers of status inequality, social distance and the perceived fairness of market and state institutions (Willis et al., 2022; Kim et al., 2022; Wilkinson &amp; Pickett, 2017)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Since contemporary welfare states vary widely with respect to coverage or generosity and the institutional roles of public policies vis-à-vis market, family and civil society, efforts have been made to investigate potential links between ‘welfare regimes’ and environmental sustainability (see the seminal typology and conceptualisations popularised by Esping Andersen (1990) or Hasanaj (2022) for a recent overview, including the topic of global regime variations beyond Western welfare states). Arguments have been elaborated for a ‘synergy’ hypothesis linking universal/social democratic welfare states, coordinated economies and environmental sustainability (Garcia-Garcia, Buendia &amp; Carpintero, 2022; </w:t>
      </w:r>
      <w:proofErr w:type="spellStart"/>
      <w:r w:rsidRPr="0092458B">
        <w:rPr>
          <w:sz w:val="24"/>
          <w:szCs w:val="24"/>
          <w:lang w:bidi="en-GB"/>
        </w:rPr>
        <w:t>Schoyen</w:t>
      </w:r>
      <w:proofErr w:type="spellEnd"/>
      <w:r w:rsidRPr="0092458B">
        <w:rPr>
          <w:sz w:val="24"/>
          <w:szCs w:val="24"/>
          <w:lang w:bidi="en-GB"/>
        </w:rPr>
        <w:t xml:space="preserve">, </w:t>
      </w:r>
      <w:proofErr w:type="spellStart"/>
      <w:r w:rsidRPr="0092458B">
        <w:rPr>
          <w:sz w:val="24"/>
          <w:szCs w:val="24"/>
          <w:lang w:bidi="en-GB"/>
        </w:rPr>
        <w:t>Hvinden</w:t>
      </w:r>
      <w:proofErr w:type="spellEnd"/>
      <w:r w:rsidRPr="0092458B">
        <w:rPr>
          <w:sz w:val="24"/>
          <w:szCs w:val="24"/>
          <w:lang w:bidi="en-GB"/>
        </w:rPr>
        <w:t xml:space="preserve"> &amp; </w:t>
      </w:r>
      <w:proofErr w:type="spellStart"/>
      <w:r w:rsidRPr="0092458B">
        <w:rPr>
          <w:sz w:val="24"/>
          <w:szCs w:val="24"/>
          <w:lang w:bidi="en-GB"/>
        </w:rPr>
        <w:t>Leiren</w:t>
      </w:r>
      <w:proofErr w:type="spellEnd"/>
      <w:r w:rsidRPr="0092458B">
        <w:rPr>
          <w:sz w:val="24"/>
          <w:szCs w:val="24"/>
          <w:lang w:bidi="en-GB"/>
        </w:rPr>
        <w:t xml:space="preserve">, 2022; Koch &amp; Fritz, 2014; </w:t>
      </w:r>
      <w:proofErr w:type="spellStart"/>
      <w:r w:rsidRPr="0092458B">
        <w:rPr>
          <w:sz w:val="24"/>
          <w:szCs w:val="24"/>
          <w:lang w:bidi="en-GB"/>
        </w:rPr>
        <w:t>Dryzek</w:t>
      </w:r>
      <w:proofErr w:type="spellEnd"/>
      <w:r w:rsidRPr="0092458B">
        <w:rPr>
          <w:sz w:val="24"/>
          <w:szCs w:val="24"/>
          <w:lang w:bidi="en-GB"/>
        </w:rPr>
        <w:t xml:space="preserve">, 2008). Universal welfare states and/or coordinated market economies might arguably have stronger foundations for integrating strong environmental </w:t>
      </w:r>
      <w:r w:rsidRPr="0092458B">
        <w:rPr>
          <w:sz w:val="24"/>
          <w:szCs w:val="24"/>
          <w:lang w:bidi="en-GB"/>
        </w:rPr>
        <w:lastRenderedPageBreak/>
        <w:t xml:space="preserve">policies focused on the long-term with their existing state capacities as well as coordinated governance structures incorporating different interests (Finnegan, 2022; Lamb &amp; Minx, 2020). </w:t>
      </w:r>
      <w:proofErr w:type="spellStart"/>
      <w:r w:rsidRPr="0092458B">
        <w:rPr>
          <w:sz w:val="24"/>
          <w:szCs w:val="24"/>
          <w:lang w:bidi="en-GB"/>
        </w:rPr>
        <w:t>Dryzek</w:t>
      </w:r>
      <w:proofErr w:type="spellEnd"/>
      <w:r w:rsidRPr="0092458B">
        <w:rPr>
          <w:sz w:val="24"/>
          <w:szCs w:val="24"/>
          <w:lang w:bidi="en-GB"/>
        </w:rPr>
        <w:t xml:space="preserve"> (2008) also argues that discourse on sustainability has been more prevalent here, and that such economies are already based on the idea that private and public interests need not be at odds with each other.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00584E60" w:rsidRPr="0092458B">
        <w:rPr>
          <w:sz w:val="24"/>
          <w:szCs w:val="24"/>
          <w:lang w:bidi="en-GB"/>
        </w:rPr>
        <w:tab/>
      </w:r>
      <w:r w:rsidRPr="0092458B">
        <w:rPr>
          <w:sz w:val="24"/>
          <w:szCs w:val="24"/>
          <w:lang w:bidi="en-GB"/>
        </w:rPr>
        <w:t xml:space="preserve">Coordinated economies with strong state capacities and transparent institutions do indeed seem to fare better in terms of adopting stronger climate policies (Finnegan, 2022; Lamb &amp; Minx, 2020; Zimmermann &amp; Graziano, 2020; Best &amp; Zhang, 2020). In terms of public attitudes, citizens in more encompassing and universal welfare states express stronger support for more extensive environmental policies (Sivonen &amp; Kukkonen, 2021; Fritz &amp; Koch, 2019). More egalitarian societies seem to fare better in terms of avoiding public divides with opposition towards environmental policies, an important mechanism perhaps being that redistributive institutions dismantle the perception that there are trade-offs between environmental and social concerns (Gaikwad, Genovese &amp; Tingley, 2022; Parth &amp; </w:t>
      </w:r>
      <w:proofErr w:type="spellStart"/>
      <w:r w:rsidRPr="0092458B">
        <w:rPr>
          <w:sz w:val="24"/>
          <w:szCs w:val="24"/>
          <w:lang w:bidi="en-GB"/>
        </w:rPr>
        <w:t>Vlandas</w:t>
      </w:r>
      <w:proofErr w:type="spellEnd"/>
      <w:r w:rsidRPr="0092458B">
        <w:rPr>
          <w:sz w:val="24"/>
          <w:szCs w:val="24"/>
          <w:lang w:bidi="en-GB"/>
        </w:rPr>
        <w:t xml:space="preserve">, 2022; </w:t>
      </w:r>
      <w:proofErr w:type="spellStart"/>
      <w:r w:rsidRPr="0092458B">
        <w:rPr>
          <w:sz w:val="24"/>
          <w:szCs w:val="24"/>
          <w:lang w:bidi="en-GB"/>
        </w:rPr>
        <w:t>Heggebø</w:t>
      </w:r>
      <w:proofErr w:type="spellEnd"/>
      <w:r w:rsidRPr="0092458B">
        <w:rPr>
          <w:sz w:val="24"/>
          <w:szCs w:val="24"/>
          <w:lang w:bidi="en-GB"/>
        </w:rPr>
        <w:t xml:space="preserve"> &amp; </w:t>
      </w:r>
      <w:proofErr w:type="spellStart"/>
      <w:r w:rsidRPr="0092458B">
        <w:rPr>
          <w:sz w:val="24"/>
          <w:szCs w:val="24"/>
          <w:lang w:bidi="en-GB"/>
        </w:rPr>
        <w:t>Hvinden</w:t>
      </w:r>
      <w:proofErr w:type="spellEnd"/>
      <w:r w:rsidRPr="0092458B">
        <w:rPr>
          <w:sz w:val="24"/>
          <w:szCs w:val="24"/>
          <w:lang w:bidi="en-GB"/>
        </w:rPr>
        <w:t xml:space="preserve">, 2022; Malerba, 2022; </w:t>
      </w:r>
      <w:proofErr w:type="spellStart"/>
      <w:r w:rsidRPr="0092458B">
        <w:rPr>
          <w:sz w:val="24"/>
          <w:szCs w:val="24"/>
          <w:lang w:bidi="en-GB"/>
        </w:rPr>
        <w:t>Dechezleprêtre</w:t>
      </w:r>
      <w:proofErr w:type="spellEnd"/>
      <w:r w:rsidRPr="0092458B">
        <w:rPr>
          <w:sz w:val="24"/>
          <w:szCs w:val="24"/>
          <w:lang w:bidi="en-GB"/>
        </w:rPr>
        <w:t xml:space="preserve"> et al., 2022; Otto &amp; Gugushvili, 2020; Fritz &amp; Koch, 2019). Favourable public moods are mirrored in the politics of established mainstream parties in the sense that environmental agendas go beyond the parties on the green left in universal welfare states (</w:t>
      </w:r>
      <w:proofErr w:type="spellStart"/>
      <w:r w:rsidRPr="0092458B">
        <w:rPr>
          <w:sz w:val="24"/>
          <w:szCs w:val="24"/>
          <w:lang w:bidi="en-GB"/>
        </w:rPr>
        <w:t>Derndorfer</w:t>
      </w:r>
      <w:proofErr w:type="spellEnd"/>
      <w:r w:rsidRPr="0092458B">
        <w:rPr>
          <w:sz w:val="24"/>
          <w:szCs w:val="24"/>
          <w:lang w:bidi="en-GB"/>
        </w:rPr>
        <w:t xml:space="preserve">, Hoffmann &amp; Theine, 2022).  </w:t>
      </w:r>
      <w:r w:rsidRPr="0092458B">
        <w:rPr>
          <w:sz w:val="24"/>
          <w:szCs w:val="24"/>
          <w:lang w:bidi="en-GB"/>
        </w:rPr>
        <w:tab/>
      </w:r>
      <w:r w:rsidRPr="0092458B">
        <w:rPr>
          <w:sz w:val="24"/>
          <w:szCs w:val="24"/>
          <w:lang w:bidi="en-GB"/>
        </w:rPr>
        <w:tab/>
      </w:r>
      <w:r w:rsidR="00584E60" w:rsidRPr="0092458B">
        <w:rPr>
          <w:sz w:val="24"/>
          <w:szCs w:val="24"/>
          <w:lang w:bidi="en-GB"/>
        </w:rPr>
        <w:tab/>
      </w:r>
      <w:r w:rsidR="00584E60" w:rsidRPr="0092458B">
        <w:rPr>
          <w:sz w:val="24"/>
          <w:szCs w:val="24"/>
          <w:lang w:bidi="en-GB"/>
        </w:rPr>
        <w:tab/>
      </w:r>
      <w:r w:rsidRPr="0092458B">
        <w:rPr>
          <w:sz w:val="24"/>
          <w:szCs w:val="24"/>
          <w:lang w:bidi="en-GB"/>
        </w:rPr>
        <w:t xml:space="preserve">However, resource and impact-oriented indicators of sustainability, such as material footprints or consumption-based emissions per capita, do not readily fall into established institutional ‘regime’ patterns (Garcia-Garcia, Buendia &amp; Carpintero, 2022; Koch, 2021; Fritz &amp; Koch, 2019; Koch &amp; Fritz, 2014). These are the primary concerns from a degrowth perspective, where current effects of income and affluence still trump everything else. While the afore-mentioned nuances are important, there is still a strong negative relationship between the fulfilment of material needs and social outcomes on the one hand, and indicators of environmental sustainability on the other (Fanning et al., 2021; Fritz &amp; Koch, 2016). To date, this link has not been sufficiently broken anywhere.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Finally, we cannot ignore that the modern welfare state evolved in tandem with the growth economy, or as a ‘double movement’ complementary to capitalism, as Polanyi (1944) described it (Novy, 2022; Walker, Druckman &amp; Jackson, 2021; Walker &amp; Jackson, 2021). This means </w:t>
      </w:r>
      <w:r w:rsidRPr="0092458B">
        <w:rPr>
          <w:sz w:val="24"/>
          <w:szCs w:val="24"/>
          <w:lang w:bidi="en-GB"/>
        </w:rPr>
        <w:lastRenderedPageBreak/>
        <w:t xml:space="preserve">that the welfare state itself is afflicted by </w:t>
      </w:r>
      <w:proofErr w:type="gramStart"/>
      <w:r w:rsidRPr="0092458B">
        <w:rPr>
          <w:sz w:val="24"/>
          <w:szCs w:val="24"/>
          <w:lang w:bidi="en-GB"/>
        </w:rPr>
        <w:t>a number of</w:t>
      </w:r>
      <w:proofErr w:type="gramEnd"/>
      <w:r w:rsidRPr="0092458B">
        <w:rPr>
          <w:sz w:val="24"/>
          <w:szCs w:val="24"/>
          <w:lang w:bidi="en-GB"/>
        </w:rPr>
        <w:t xml:space="preserve"> growth dependencies. Walker, Druckman &amp; Jackson (2021) and Walker &amp; Jackson (2021) have discussed these dependencies under the headings of financing, increasing relative costs of care, increasing demands, rent seeking, ownership models and management models incentivising growth. The welfare state is financed by taxation and contributions from economic activities, the aggregate value of which could be expected to decline in a degrowth scenario, particularly in wealthy economies (see Baily (2015), who elaborates on the challenge with respect to financing welfare beyond growth). </w:t>
      </w:r>
      <w:r w:rsidRPr="0092458B">
        <w:rPr>
          <w:sz w:val="24"/>
          <w:szCs w:val="24"/>
          <w:lang w:bidi="en-GB"/>
        </w:rPr>
        <w:tab/>
        <w:t xml:space="preserve">Costs, </w:t>
      </w:r>
      <w:proofErr w:type="gramStart"/>
      <w:r w:rsidRPr="0092458B">
        <w:rPr>
          <w:sz w:val="24"/>
          <w:szCs w:val="24"/>
          <w:lang w:bidi="en-GB"/>
        </w:rPr>
        <w:t>in particular for</w:t>
      </w:r>
      <w:proofErr w:type="gramEnd"/>
      <w:r w:rsidRPr="0092458B">
        <w:rPr>
          <w:sz w:val="24"/>
          <w:szCs w:val="24"/>
          <w:lang w:bidi="en-GB"/>
        </w:rPr>
        <w:t xml:space="preserve"> care services such as healthcare, have increased at a faster rate than GDP in many countries, and relative differences in productivity improvements, as described by Baumol’s cost disease, might have contributed to the increasing relative costs of some services in the public sector. In addition, demands have changed (and increased) due to changing demographics, family structures and new socioeconomic risks associated with modern labour markets. Finally, many management models have relied on incentivising and rewarding increasing activity and output within the public sector. Some of these growth dependencies could be curtailed, for instance by switching to less growth-dependent sources of financing (such as shifting away from contributions) and towards more progressive and environmental forms of taxation, abandoning output-oriented management, curtailing opportunities for rent-seeking and limiting for-profit ownership models, etc. (Walker, Druckman &amp; Jackson, 2021; Walker &amp; Jackson, 2021; Bailey, 2015).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In summary, there are arguments and research to support the view that strong welfare institutions are needed in an economy where wellbeing is achieved at lower levels of resource use and impact. Many of the arguments and findings presented above are sometimes raised in other fields of literature without explicit or elaborated references to degrowth, such as the nascent literature on ‘eco-social’ welfare states (</w:t>
      </w:r>
      <w:proofErr w:type="spellStart"/>
      <w:r w:rsidRPr="0092458B">
        <w:rPr>
          <w:sz w:val="24"/>
          <w:szCs w:val="24"/>
          <w:lang w:bidi="en-GB"/>
        </w:rPr>
        <w:t>Hirvilammi</w:t>
      </w:r>
      <w:proofErr w:type="spellEnd"/>
      <w:r w:rsidRPr="0092458B">
        <w:rPr>
          <w:sz w:val="24"/>
          <w:szCs w:val="24"/>
          <w:lang w:bidi="en-GB"/>
        </w:rPr>
        <w:t xml:space="preserve"> et al., 2023; </w:t>
      </w:r>
      <w:proofErr w:type="spellStart"/>
      <w:r w:rsidRPr="0092458B">
        <w:rPr>
          <w:sz w:val="24"/>
          <w:szCs w:val="24"/>
          <w:lang w:bidi="en-GB"/>
        </w:rPr>
        <w:t>Schoyen</w:t>
      </w:r>
      <w:proofErr w:type="spellEnd"/>
      <w:r w:rsidRPr="0092458B">
        <w:rPr>
          <w:sz w:val="24"/>
          <w:szCs w:val="24"/>
          <w:lang w:bidi="en-GB"/>
        </w:rPr>
        <w:t xml:space="preserve">, </w:t>
      </w:r>
      <w:proofErr w:type="spellStart"/>
      <w:r w:rsidRPr="0092458B">
        <w:rPr>
          <w:sz w:val="24"/>
          <w:szCs w:val="24"/>
          <w:lang w:bidi="en-GB"/>
        </w:rPr>
        <w:t>Hvinden</w:t>
      </w:r>
      <w:proofErr w:type="spellEnd"/>
      <w:r w:rsidRPr="0092458B">
        <w:rPr>
          <w:sz w:val="24"/>
          <w:szCs w:val="24"/>
          <w:lang w:bidi="en-GB"/>
        </w:rPr>
        <w:t xml:space="preserve"> &amp; </w:t>
      </w:r>
      <w:proofErr w:type="spellStart"/>
      <w:r w:rsidRPr="0092458B">
        <w:rPr>
          <w:sz w:val="24"/>
          <w:szCs w:val="24"/>
          <w:lang w:bidi="en-GB"/>
        </w:rPr>
        <w:t>Leiren</w:t>
      </w:r>
      <w:proofErr w:type="spellEnd"/>
      <w:r w:rsidRPr="0092458B">
        <w:rPr>
          <w:sz w:val="24"/>
          <w:szCs w:val="24"/>
          <w:lang w:bidi="en-GB"/>
        </w:rPr>
        <w:t xml:space="preserve">, 2022; Gough, 2022). However, we cannot identify any contemporary welfare states that have succeeded in breaking the current links between affluence, </w:t>
      </w:r>
      <w:proofErr w:type="gramStart"/>
      <w:r w:rsidRPr="0092458B">
        <w:rPr>
          <w:sz w:val="24"/>
          <w:szCs w:val="24"/>
          <w:lang w:bidi="en-GB"/>
        </w:rPr>
        <w:t>wellbeing</w:t>
      </w:r>
      <w:proofErr w:type="gramEnd"/>
      <w:r w:rsidRPr="0092458B">
        <w:rPr>
          <w:sz w:val="24"/>
          <w:szCs w:val="24"/>
          <w:lang w:bidi="en-GB"/>
        </w:rPr>
        <w:t xml:space="preserve"> and environmental degradation. Established welfare states are still concerned with ideas and paradigms wedded to the growth economy (</w:t>
      </w:r>
      <w:proofErr w:type="spellStart"/>
      <w:r w:rsidRPr="0092458B">
        <w:rPr>
          <w:sz w:val="24"/>
          <w:szCs w:val="24"/>
          <w:lang w:bidi="en-GB"/>
        </w:rPr>
        <w:t>Hirvilammi</w:t>
      </w:r>
      <w:proofErr w:type="spellEnd"/>
      <w:r w:rsidRPr="0092458B">
        <w:rPr>
          <w:sz w:val="24"/>
          <w:szCs w:val="24"/>
          <w:lang w:bidi="en-GB"/>
        </w:rPr>
        <w:t xml:space="preserve"> et al., 2023; </w:t>
      </w:r>
      <w:proofErr w:type="spellStart"/>
      <w:r w:rsidRPr="0092458B">
        <w:rPr>
          <w:sz w:val="24"/>
          <w:szCs w:val="24"/>
          <w:lang w:bidi="en-GB"/>
        </w:rPr>
        <w:t>Hirvilammi</w:t>
      </w:r>
      <w:proofErr w:type="spellEnd"/>
      <w:r w:rsidRPr="0092458B">
        <w:rPr>
          <w:sz w:val="24"/>
          <w:szCs w:val="24"/>
          <w:lang w:bidi="en-GB"/>
        </w:rPr>
        <w:t xml:space="preserve">, 2020). There are also real growth dependencies within contemporary welfare states, and even if they could be curtailed to some </w:t>
      </w:r>
      <w:r w:rsidRPr="0092458B">
        <w:rPr>
          <w:sz w:val="24"/>
          <w:szCs w:val="24"/>
          <w:lang w:bidi="en-GB"/>
        </w:rPr>
        <w:lastRenderedPageBreak/>
        <w:t xml:space="preserve">extent, it should be discussed whether there would need to be a reduction in some current demands for publicly provided welfare. </w:t>
      </w:r>
    </w:p>
    <w:p w14:paraId="30E96C65" w14:textId="77777777" w:rsidR="00B149AC" w:rsidRPr="0092458B" w:rsidRDefault="00B149AC" w:rsidP="00D8112B">
      <w:pPr>
        <w:spacing w:line="360" w:lineRule="auto"/>
        <w:rPr>
          <w:b/>
          <w:bCs/>
          <w:iCs/>
          <w:sz w:val="28"/>
          <w:szCs w:val="28"/>
          <w:lang w:val="en-US"/>
        </w:rPr>
      </w:pPr>
    </w:p>
    <w:p w14:paraId="3D63061B" w14:textId="6B1CF606" w:rsidR="00756FAB" w:rsidRPr="0092458B" w:rsidRDefault="002B4FB3" w:rsidP="00D8112B">
      <w:pPr>
        <w:spacing w:line="360" w:lineRule="auto"/>
        <w:rPr>
          <w:iCs/>
          <w:sz w:val="28"/>
          <w:szCs w:val="28"/>
          <w:lang w:val="en-US"/>
        </w:rPr>
      </w:pPr>
      <w:proofErr w:type="spellStart"/>
      <w:r w:rsidRPr="0092458B">
        <w:rPr>
          <w:b/>
          <w:sz w:val="28"/>
          <w:szCs w:val="28"/>
          <w:lang w:bidi="en-GB"/>
        </w:rPr>
        <w:t>Commoning</w:t>
      </w:r>
      <w:proofErr w:type="spellEnd"/>
      <w:r w:rsidRPr="0092458B">
        <w:rPr>
          <w:b/>
          <w:sz w:val="28"/>
          <w:szCs w:val="28"/>
          <w:lang w:bidi="en-GB"/>
        </w:rPr>
        <w:t xml:space="preserve"> and </w:t>
      </w:r>
      <w:proofErr w:type="spellStart"/>
      <w:r w:rsidRPr="0092458B">
        <w:rPr>
          <w:b/>
          <w:sz w:val="28"/>
          <w:szCs w:val="28"/>
          <w:lang w:bidi="en-GB"/>
        </w:rPr>
        <w:t>convivialism</w:t>
      </w:r>
      <w:proofErr w:type="spellEnd"/>
      <w:r w:rsidRPr="0092458B">
        <w:rPr>
          <w:b/>
          <w:sz w:val="28"/>
          <w:szCs w:val="28"/>
          <w:lang w:bidi="en-GB"/>
        </w:rPr>
        <w:t xml:space="preserve">: Doing away with the welfare state? </w:t>
      </w:r>
    </w:p>
    <w:p w14:paraId="1A1F7AD9" w14:textId="68F9FD16" w:rsidR="006B0AE1" w:rsidRPr="0092458B" w:rsidRDefault="00B91B23" w:rsidP="00D8112B">
      <w:pPr>
        <w:spacing w:line="360" w:lineRule="auto"/>
        <w:rPr>
          <w:iCs/>
          <w:sz w:val="24"/>
          <w:szCs w:val="24"/>
          <w:lang w:val="en-US"/>
        </w:rPr>
      </w:pPr>
      <w:r w:rsidRPr="0092458B">
        <w:rPr>
          <w:sz w:val="24"/>
          <w:szCs w:val="24"/>
          <w:lang w:bidi="en-GB"/>
        </w:rPr>
        <w:t xml:space="preserve">This strand of degrowth does not concern state-led decommodification and welfare provision, but emancipation from both state and market. It outlines needs, sufficiency and </w:t>
      </w:r>
      <w:proofErr w:type="spellStart"/>
      <w:r w:rsidRPr="0092458B">
        <w:rPr>
          <w:sz w:val="24"/>
          <w:szCs w:val="24"/>
          <w:lang w:bidi="en-GB"/>
        </w:rPr>
        <w:t>commoning</w:t>
      </w:r>
      <w:proofErr w:type="spellEnd"/>
      <w:r w:rsidRPr="0092458B">
        <w:rPr>
          <w:sz w:val="24"/>
          <w:szCs w:val="24"/>
          <w:lang w:bidi="en-GB"/>
        </w:rPr>
        <w:t xml:space="preserve"> provided outside of formal institutions (Schmelzer, Vetter &amp; </w:t>
      </w:r>
      <w:proofErr w:type="spellStart"/>
      <w:r w:rsidRPr="0092458B">
        <w:rPr>
          <w:sz w:val="24"/>
          <w:szCs w:val="24"/>
          <w:lang w:bidi="en-GB"/>
        </w:rPr>
        <w:t>Vansintjan</w:t>
      </w:r>
      <w:proofErr w:type="spellEnd"/>
      <w:r w:rsidRPr="0092458B">
        <w:rPr>
          <w:sz w:val="24"/>
          <w:szCs w:val="24"/>
          <w:lang w:bidi="en-GB"/>
        </w:rPr>
        <w:t xml:space="preserve">, 2022). It often imagines self-determination or governance at community level. Following on from the challenge raised in the previous section, this topic provides an avenue for further thinking on decommodification and growth independence outside of the formal welfare state. Yet it also raises its own challenge concerning the balance (both potential complementarities and trade-offs) between public social policies and the alternative or informal economy.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The terms ‘</w:t>
      </w:r>
      <w:proofErr w:type="spellStart"/>
      <w:r w:rsidRPr="0092458B">
        <w:rPr>
          <w:sz w:val="24"/>
          <w:szCs w:val="24"/>
          <w:lang w:bidi="en-GB"/>
        </w:rPr>
        <w:t>commoning</w:t>
      </w:r>
      <w:proofErr w:type="spellEnd"/>
      <w:r w:rsidRPr="0092458B">
        <w:rPr>
          <w:sz w:val="24"/>
          <w:szCs w:val="24"/>
          <w:lang w:bidi="en-GB"/>
        </w:rPr>
        <w:t>’ and ‘</w:t>
      </w:r>
      <w:proofErr w:type="spellStart"/>
      <w:r w:rsidRPr="0092458B">
        <w:rPr>
          <w:sz w:val="24"/>
          <w:szCs w:val="24"/>
          <w:lang w:bidi="en-GB"/>
        </w:rPr>
        <w:t>convivialism</w:t>
      </w:r>
      <w:proofErr w:type="spellEnd"/>
      <w:r w:rsidRPr="0092458B">
        <w:rPr>
          <w:sz w:val="24"/>
          <w:szCs w:val="24"/>
          <w:lang w:bidi="en-GB"/>
        </w:rPr>
        <w:t xml:space="preserve">’ are often points of departure in this literature. </w:t>
      </w:r>
      <w:proofErr w:type="spellStart"/>
      <w:r w:rsidRPr="0092458B">
        <w:rPr>
          <w:sz w:val="24"/>
          <w:szCs w:val="24"/>
          <w:lang w:bidi="en-GB"/>
        </w:rPr>
        <w:t>Convivialism</w:t>
      </w:r>
      <w:proofErr w:type="spellEnd"/>
      <w:r w:rsidRPr="0092458B">
        <w:rPr>
          <w:sz w:val="24"/>
          <w:szCs w:val="24"/>
          <w:lang w:bidi="en-GB"/>
        </w:rPr>
        <w:t xml:space="preserve"> (from the Latin ‘</w:t>
      </w:r>
      <w:proofErr w:type="spellStart"/>
      <w:r w:rsidRPr="0092458B">
        <w:rPr>
          <w:sz w:val="24"/>
          <w:szCs w:val="24"/>
          <w:lang w:bidi="en-GB"/>
        </w:rPr>
        <w:t>convivere</w:t>
      </w:r>
      <w:proofErr w:type="spellEnd"/>
      <w:r w:rsidRPr="0092458B">
        <w:rPr>
          <w:sz w:val="24"/>
          <w:szCs w:val="24"/>
          <w:lang w:bidi="en-GB"/>
        </w:rPr>
        <w:t>’, meaning to live together), like ‘</w:t>
      </w:r>
      <w:proofErr w:type="spellStart"/>
      <w:r w:rsidRPr="0092458B">
        <w:rPr>
          <w:sz w:val="24"/>
          <w:szCs w:val="24"/>
          <w:lang w:bidi="en-GB"/>
        </w:rPr>
        <w:t>décroissance</w:t>
      </w:r>
      <w:proofErr w:type="spellEnd"/>
      <w:r w:rsidRPr="0092458B">
        <w:rPr>
          <w:sz w:val="24"/>
          <w:szCs w:val="24"/>
          <w:lang w:bidi="en-GB"/>
        </w:rPr>
        <w:t>’ (degrowth), originates in French debates (</w:t>
      </w:r>
      <w:proofErr w:type="spellStart"/>
      <w:r w:rsidRPr="0092458B">
        <w:rPr>
          <w:sz w:val="24"/>
          <w:szCs w:val="24"/>
          <w:lang w:bidi="en-GB"/>
        </w:rPr>
        <w:t>Deriu</w:t>
      </w:r>
      <w:proofErr w:type="spellEnd"/>
      <w:r w:rsidRPr="0092458B">
        <w:rPr>
          <w:sz w:val="24"/>
          <w:szCs w:val="24"/>
          <w:lang w:bidi="en-GB"/>
        </w:rPr>
        <w:t xml:space="preserve">, 2015). </w:t>
      </w:r>
      <w:proofErr w:type="spellStart"/>
      <w:r w:rsidRPr="0092458B">
        <w:rPr>
          <w:sz w:val="24"/>
          <w:szCs w:val="24"/>
          <w:lang w:bidi="en-GB"/>
        </w:rPr>
        <w:t>Commoning</w:t>
      </w:r>
      <w:proofErr w:type="spellEnd"/>
      <w:r w:rsidRPr="0092458B">
        <w:rPr>
          <w:sz w:val="24"/>
          <w:szCs w:val="24"/>
          <w:lang w:bidi="en-GB"/>
        </w:rPr>
        <w:t xml:space="preserve"> denotes the shared and network-based management of material and social resources, or community-based ‘governance’ (Koch, 2022c; </w:t>
      </w:r>
      <w:proofErr w:type="spellStart"/>
      <w:r w:rsidRPr="0092458B">
        <w:rPr>
          <w:sz w:val="24"/>
          <w:szCs w:val="24"/>
          <w:lang w:bidi="en-GB"/>
        </w:rPr>
        <w:t>D’Alisa</w:t>
      </w:r>
      <w:proofErr w:type="spellEnd"/>
      <w:r w:rsidRPr="0092458B">
        <w:rPr>
          <w:sz w:val="24"/>
          <w:szCs w:val="24"/>
          <w:lang w:bidi="en-GB"/>
        </w:rPr>
        <w:t xml:space="preserve"> &amp; Kallis, 2020; </w:t>
      </w:r>
      <w:proofErr w:type="spellStart"/>
      <w:r w:rsidRPr="0092458B">
        <w:rPr>
          <w:sz w:val="24"/>
          <w:szCs w:val="24"/>
          <w:lang w:bidi="en-GB"/>
        </w:rPr>
        <w:t>Parrique</w:t>
      </w:r>
      <w:proofErr w:type="spellEnd"/>
      <w:r w:rsidRPr="0092458B">
        <w:rPr>
          <w:sz w:val="24"/>
          <w:szCs w:val="24"/>
          <w:lang w:bidi="en-GB"/>
        </w:rPr>
        <w:t xml:space="preserve">, 2019; Helfrich &amp; </w:t>
      </w:r>
      <w:proofErr w:type="spellStart"/>
      <w:r w:rsidRPr="0092458B">
        <w:rPr>
          <w:sz w:val="24"/>
          <w:szCs w:val="24"/>
          <w:lang w:bidi="en-GB"/>
        </w:rPr>
        <w:t>Bolier</w:t>
      </w:r>
      <w:proofErr w:type="spellEnd"/>
      <w:r w:rsidRPr="0092458B">
        <w:rPr>
          <w:sz w:val="24"/>
          <w:szCs w:val="24"/>
          <w:lang w:bidi="en-GB"/>
        </w:rPr>
        <w:t xml:space="preserve">, 2015; </w:t>
      </w:r>
      <w:proofErr w:type="spellStart"/>
      <w:r w:rsidRPr="0092458B">
        <w:rPr>
          <w:sz w:val="24"/>
          <w:szCs w:val="24"/>
          <w:lang w:bidi="en-GB"/>
        </w:rPr>
        <w:t>Deriu</w:t>
      </w:r>
      <w:proofErr w:type="spellEnd"/>
      <w:r w:rsidRPr="0092458B">
        <w:rPr>
          <w:sz w:val="24"/>
          <w:szCs w:val="24"/>
          <w:lang w:bidi="en-GB"/>
        </w:rPr>
        <w:t xml:space="preserve">, 2015). </w:t>
      </w:r>
      <w:r w:rsidRPr="0092458B">
        <w:rPr>
          <w:sz w:val="24"/>
          <w:szCs w:val="24"/>
          <w:lang w:bidi="en-GB"/>
        </w:rPr>
        <w:tab/>
      </w:r>
      <w:r w:rsidRPr="0092458B">
        <w:rPr>
          <w:sz w:val="24"/>
          <w:szCs w:val="24"/>
          <w:lang w:bidi="en-GB"/>
        </w:rPr>
        <w:tab/>
        <w:t>While decommodification is about the public stepping in and financing and/or providing resources or goods that have been commodified and</w:t>
      </w:r>
      <w:r w:rsidR="008B3404" w:rsidRPr="0092458B">
        <w:rPr>
          <w:sz w:val="24"/>
          <w:szCs w:val="24"/>
          <w:lang w:bidi="en-GB"/>
        </w:rPr>
        <w:t xml:space="preserve"> regulated</w:t>
      </w:r>
      <w:r w:rsidRPr="0092458B">
        <w:rPr>
          <w:sz w:val="24"/>
          <w:szCs w:val="24"/>
          <w:lang w:bidi="en-GB"/>
        </w:rPr>
        <w:t xml:space="preserve"> by the price mechanism, </w:t>
      </w:r>
      <w:proofErr w:type="spellStart"/>
      <w:r w:rsidRPr="0092458B">
        <w:rPr>
          <w:sz w:val="24"/>
          <w:szCs w:val="24"/>
          <w:lang w:bidi="en-GB"/>
        </w:rPr>
        <w:t>commoning</w:t>
      </w:r>
      <w:proofErr w:type="spellEnd"/>
      <w:r w:rsidRPr="0092458B">
        <w:rPr>
          <w:sz w:val="24"/>
          <w:szCs w:val="24"/>
          <w:lang w:bidi="en-GB"/>
        </w:rPr>
        <w:t xml:space="preserve"> represents a different process. </w:t>
      </w:r>
      <w:proofErr w:type="spellStart"/>
      <w:r w:rsidRPr="0092458B">
        <w:rPr>
          <w:sz w:val="24"/>
          <w:szCs w:val="24"/>
          <w:lang w:bidi="en-GB"/>
        </w:rPr>
        <w:t>Commoning</w:t>
      </w:r>
      <w:proofErr w:type="spellEnd"/>
      <w:r w:rsidRPr="0092458B">
        <w:rPr>
          <w:sz w:val="24"/>
          <w:szCs w:val="24"/>
          <w:lang w:bidi="en-GB"/>
        </w:rPr>
        <w:t xml:space="preserve"> describes the social practices, values and norms used to manage public or common resources. The concept is known from the management (and mismanagement) of resources that can be characterised as common-pool resources, as described by Hardin (1968) in The Tragedy of the Commons and by Ostrom (1990) in her seminal work on functioning, sustainable commons. Commons are guided by the organising principle of reciprocity, whereas states and markets adhere to exchange and redistribution (</w:t>
      </w:r>
      <w:proofErr w:type="spellStart"/>
      <w:r w:rsidRPr="0092458B">
        <w:rPr>
          <w:sz w:val="24"/>
          <w:szCs w:val="24"/>
          <w:lang w:bidi="en-GB"/>
        </w:rPr>
        <w:t>Parrique</w:t>
      </w:r>
      <w:proofErr w:type="spellEnd"/>
      <w:r w:rsidRPr="0092458B">
        <w:rPr>
          <w:sz w:val="24"/>
          <w:szCs w:val="24"/>
          <w:lang w:bidi="en-GB"/>
        </w:rPr>
        <w:t xml:space="preserve">, 2019; Helfrich &amp; Bollier, 2015).  </w:t>
      </w:r>
      <w:r w:rsidRPr="0092458B">
        <w:rPr>
          <w:sz w:val="24"/>
          <w:szCs w:val="24"/>
          <w:lang w:bidi="en-GB"/>
        </w:rPr>
        <w:tab/>
      </w:r>
      <w:r w:rsidRPr="0092458B">
        <w:rPr>
          <w:sz w:val="24"/>
          <w:szCs w:val="24"/>
          <w:lang w:bidi="en-GB"/>
        </w:rPr>
        <w:tab/>
      </w:r>
      <w:r w:rsidR="008B3404" w:rsidRPr="0092458B">
        <w:rPr>
          <w:sz w:val="24"/>
          <w:szCs w:val="24"/>
          <w:lang w:bidi="en-GB"/>
        </w:rPr>
        <w:tab/>
      </w:r>
      <w:r w:rsidR="008B3404" w:rsidRPr="0092458B">
        <w:rPr>
          <w:sz w:val="24"/>
          <w:szCs w:val="24"/>
          <w:lang w:bidi="en-GB"/>
        </w:rPr>
        <w:tab/>
      </w:r>
      <w:r w:rsidR="008B3404" w:rsidRPr="0092458B">
        <w:rPr>
          <w:sz w:val="24"/>
          <w:szCs w:val="24"/>
          <w:lang w:bidi="en-GB"/>
        </w:rPr>
        <w:tab/>
      </w:r>
      <w:r w:rsidR="008B3404" w:rsidRPr="0092458B">
        <w:rPr>
          <w:sz w:val="24"/>
          <w:szCs w:val="24"/>
          <w:lang w:bidi="en-GB"/>
        </w:rPr>
        <w:tab/>
      </w:r>
      <w:r w:rsidR="008B3404" w:rsidRPr="0092458B">
        <w:rPr>
          <w:sz w:val="24"/>
          <w:szCs w:val="24"/>
          <w:lang w:bidi="en-GB"/>
        </w:rPr>
        <w:tab/>
      </w:r>
      <w:r w:rsidRPr="0092458B">
        <w:rPr>
          <w:sz w:val="24"/>
          <w:szCs w:val="24"/>
          <w:lang w:bidi="en-GB"/>
        </w:rPr>
        <w:t xml:space="preserve">This is a strand of degrowth that broadly envisages radical change and emancipation ‘from below’ rather than through ‘top-down’ policy reforms (Schulken et al., 2022; Kallis et al., 2018; Demaria et al., 2013). It broadly covers many of the proposals reviewed by Fitzpatrick, </w:t>
      </w:r>
      <w:proofErr w:type="spellStart"/>
      <w:r w:rsidRPr="0092458B">
        <w:rPr>
          <w:sz w:val="24"/>
          <w:szCs w:val="24"/>
          <w:lang w:bidi="en-GB"/>
        </w:rPr>
        <w:lastRenderedPageBreak/>
        <w:t>Parrique</w:t>
      </w:r>
      <w:proofErr w:type="spellEnd"/>
      <w:r w:rsidRPr="0092458B">
        <w:rPr>
          <w:sz w:val="24"/>
          <w:szCs w:val="24"/>
          <w:lang w:bidi="en-GB"/>
        </w:rPr>
        <w:t xml:space="preserve"> &amp; Cosme (2022), </w:t>
      </w:r>
      <w:proofErr w:type="spellStart"/>
      <w:r w:rsidRPr="0092458B">
        <w:rPr>
          <w:sz w:val="24"/>
          <w:szCs w:val="24"/>
          <w:lang w:bidi="en-GB"/>
        </w:rPr>
        <w:t>Parrique</w:t>
      </w:r>
      <w:proofErr w:type="spellEnd"/>
      <w:r w:rsidRPr="0092458B">
        <w:rPr>
          <w:sz w:val="24"/>
          <w:szCs w:val="24"/>
          <w:lang w:bidi="en-GB"/>
        </w:rPr>
        <w:t xml:space="preserve"> (2019) and Cosme, Santos &amp; O’Neill (2017) that were not covered in the previous section, such as not-for-profit cooperatives, deliberative forums, </w:t>
      </w:r>
      <w:proofErr w:type="gramStart"/>
      <w:r w:rsidRPr="0092458B">
        <w:rPr>
          <w:sz w:val="24"/>
          <w:szCs w:val="24"/>
          <w:lang w:bidi="en-GB"/>
        </w:rPr>
        <w:t>ecovillages</w:t>
      </w:r>
      <w:proofErr w:type="gramEnd"/>
      <w:r w:rsidRPr="0092458B">
        <w:rPr>
          <w:sz w:val="24"/>
          <w:szCs w:val="24"/>
          <w:lang w:bidi="en-GB"/>
        </w:rPr>
        <w:t xml:space="preserve"> and housing cooperatives. It could also be said that this concerns all kinds of alternative and informal economies based on solidarity, </w:t>
      </w:r>
      <w:proofErr w:type="gramStart"/>
      <w:r w:rsidRPr="0092458B">
        <w:rPr>
          <w:sz w:val="24"/>
          <w:szCs w:val="24"/>
          <w:lang w:bidi="en-GB"/>
        </w:rPr>
        <w:t>reciprocity</w:t>
      </w:r>
      <w:proofErr w:type="gramEnd"/>
      <w:r w:rsidRPr="0092458B">
        <w:rPr>
          <w:sz w:val="24"/>
          <w:szCs w:val="24"/>
          <w:lang w:bidi="en-GB"/>
        </w:rPr>
        <w:t xml:space="preserve"> and mutual exchange, as well as non-profit forms of production in cooperatives, ecovillages or transition towns (Schmelzer, Vetter &amp; </w:t>
      </w:r>
      <w:proofErr w:type="spellStart"/>
      <w:r w:rsidRPr="0092458B">
        <w:rPr>
          <w:sz w:val="24"/>
          <w:szCs w:val="24"/>
          <w:lang w:bidi="en-GB"/>
        </w:rPr>
        <w:t>Vansintjan</w:t>
      </w:r>
      <w:proofErr w:type="spellEnd"/>
      <w:r w:rsidRPr="0092458B">
        <w:rPr>
          <w:sz w:val="24"/>
          <w:szCs w:val="24"/>
          <w:lang w:bidi="en-GB"/>
        </w:rPr>
        <w:t xml:space="preserve">, 2022; Kallis et al., 2018).  These solutions are seen </w:t>
      </w:r>
      <w:proofErr w:type="gramStart"/>
      <w:r w:rsidRPr="0092458B">
        <w:rPr>
          <w:sz w:val="24"/>
          <w:szCs w:val="24"/>
          <w:lang w:bidi="en-GB"/>
        </w:rPr>
        <w:t>as a way to</w:t>
      </w:r>
      <w:proofErr w:type="gramEnd"/>
      <w:r w:rsidRPr="0092458B">
        <w:rPr>
          <w:sz w:val="24"/>
          <w:szCs w:val="24"/>
          <w:lang w:bidi="en-GB"/>
        </w:rPr>
        <w:t xml:space="preserve"> reduce the need for increasing production and consumption. </w:t>
      </w:r>
      <w:proofErr w:type="spellStart"/>
      <w:r w:rsidRPr="0092458B">
        <w:rPr>
          <w:sz w:val="24"/>
          <w:szCs w:val="24"/>
          <w:lang w:bidi="en-GB"/>
        </w:rPr>
        <w:t>Commoning</w:t>
      </w:r>
      <w:proofErr w:type="spellEnd"/>
      <w:r w:rsidRPr="0092458B">
        <w:rPr>
          <w:sz w:val="24"/>
          <w:szCs w:val="24"/>
          <w:lang w:bidi="en-GB"/>
        </w:rPr>
        <w:t xml:space="preserve"> versus decommodification mirrors the potential tensions between grand, public social reforms and bottom-up, community-based management.</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006152BF" w:rsidRPr="0092458B">
        <w:rPr>
          <w:sz w:val="24"/>
          <w:szCs w:val="24"/>
          <w:lang w:bidi="en-GB"/>
        </w:rPr>
        <w:tab/>
      </w:r>
      <w:r w:rsidRPr="0092458B">
        <w:rPr>
          <w:sz w:val="24"/>
          <w:szCs w:val="24"/>
          <w:lang w:bidi="en-GB"/>
        </w:rPr>
        <w:t xml:space="preserve"> </w:t>
      </w:r>
      <w:r w:rsidR="00024DA3" w:rsidRPr="0092458B">
        <w:rPr>
          <w:sz w:val="24"/>
          <w:szCs w:val="24"/>
          <w:lang w:bidi="en-GB"/>
        </w:rPr>
        <w:t>T</w:t>
      </w:r>
      <w:r w:rsidRPr="0092458B">
        <w:rPr>
          <w:sz w:val="24"/>
          <w:szCs w:val="24"/>
          <w:lang w:bidi="en-GB"/>
        </w:rPr>
        <w:t xml:space="preserve">ransformation of paid labour, especially a general reduction in working hours, underpins </w:t>
      </w:r>
      <w:proofErr w:type="spellStart"/>
      <w:r w:rsidRPr="0092458B">
        <w:rPr>
          <w:sz w:val="24"/>
          <w:szCs w:val="24"/>
          <w:lang w:bidi="en-GB"/>
        </w:rPr>
        <w:t>commoning</w:t>
      </w:r>
      <w:proofErr w:type="spellEnd"/>
      <w:r w:rsidRPr="0092458B">
        <w:rPr>
          <w:sz w:val="24"/>
          <w:szCs w:val="24"/>
          <w:lang w:bidi="en-GB"/>
        </w:rPr>
        <w:t xml:space="preserve"> or </w:t>
      </w:r>
      <w:proofErr w:type="spellStart"/>
      <w:r w:rsidRPr="0092458B">
        <w:rPr>
          <w:sz w:val="24"/>
          <w:szCs w:val="24"/>
          <w:lang w:bidi="en-GB"/>
        </w:rPr>
        <w:t>convivialism</w:t>
      </w:r>
      <w:proofErr w:type="spellEnd"/>
      <w:r w:rsidRPr="0092458B">
        <w:rPr>
          <w:sz w:val="24"/>
          <w:szCs w:val="24"/>
          <w:lang w:bidi="en-GB"/>
        </w:rPr>
        <w:t xml:space="preserve"> as a core policy proposal, also straddling the previous institutionalist, policy-oriented strand (Kallis et al., 2018; Cosme, Santos &amp; O’Neill, 2017). Shorter </w:t>
      </w:r>
      <w:proofErr w:type="gramStart"/>
      <w:r w:rsidRPr="0092458B">
        <w:rPr>
          <w:sz w:val="24"/>
          <w:szCs w:val="24"/>
          <w:lang w:bidi="en-GB"/>
        </w:rPr>
        <w:t>work days</w:t>
      </w:r>
      <w:proofErr w:type="gramEnd"/>
      <w:r w:rsidRPr="0092458B">
        <w:rPr>
          <w:sz w:val="24"/>
          <w:szCs w:val="24"/>
          <w:lang w:bidi="en-GB"/>
        </w:rPr>
        <w:t xml:space="preserve"> or work weeks facilitate </w:t>
      </w:r>
      <w:proofErr w:type="spellStart"/>
      <w:r w:rsidRPr="0092458B">
        <w:rPr>
          <w:sz w:val="24"/>
          <w:szCs w:val="24"/>
          <w:lang w:bidi="en-GB"/>
        </w:rPr>
        <w:t>commoning</w:t>
      </w:r>
      <w:proofErr w:type="spellEnd"/>
      <w:r w:rsidRPr="0092458B">
        <w:rPr>
          <w:sz w:val="24"/>
          <w:szCs w:val="24"/>
          <w:lang w:bidi="en-GB"/>
        </w:rPr>
        <w:t xml:space="preserve"> by freeing up time as a necessary resource. In addition, it further reduces material consumption and encourages more sustainable and social pursuits that require free time (</w:t>
      </w:r>
      <w:r w:rsidR="00024DA3" w:rsidRPr="0092458B">
        <w:rPr>
          <w:sz w:val="24"/>
          <w:szCs w:val="24"/>
          <w:lang w:bidi="en-GB"/>
        </w:rPr>
        <w:t xml:space="preserve">Chung 2022; </w:t>
      </w:r>
      <w:r w:rsidRPr="0092458B">
        <w:rPr>
          <w:sz w:val="24"/>
          <w:szCs w:val="24"/>
          <w:lang w:bidi="en-GB"/>
        </w:rPr>
        <w:t xml:space="preserve">Antal et al., 2020; </w:t>
      </w:r>
      <w:proofErr w:type="spellStart"/>
      <w:r w:rsidRPr="0092458B">
        <w:rPr>
          <w:sz w:val="24"/>
          <w:szCs w:val="24"/>
          <w:lang w:bidi="en-GB"/>
        </w:rPr>
        <w:t>Parrique</w:t>
      </w:r>
      <w:proofErr w:type="spellEnd"/>
      <w:r w:rsidRPr="0092458B">
        <w:rPr>
          <w:sz w:val="24"/>
          <w:szCs w:val="24"/>
          <w:lang w:bidi="en-GB"/>
        </w:rPr>
        <w:t>, 2019; Kallis et al., 2018; Pullinger, 2014). Reducing working hours can also be seen as a tool for weakening ‘</w:t>
      </w:r>
      <w:proofErr w:type="spellStart"/>
      <w:r w:rsidRPr="0092458B">
        <w:rPr>
          <w:sz w:val="24"/>
          <w:szCs w:val="24"/>
          <w:lang w:bidi="en-GB"/>
        </w:rPr>
        <w:t>Okuns</w:t>
      </w:r>
      <w:proofErr w:type="spellEnd"/>
      <w:r w:rsidRPr="0092458B">
        <w:rPr>
          <w:sz w:val="24"/>
          <w:szCs w:val="24"/>
          <w:lang w:bidi="en-GB"/>
        </w:rPr>
        <w:t xml:space="preserve"> Law’, the strong association that is typically observed between low economic growth and increasing unemployment, although it is likely that a general reduction in working time would need to be accompanied by policies that lower profit rates (Oberholzer, 2023; Antal, 2014). These aims are followed by proposals to increase public sector service employment (hence, the </w:t>
      </w:r>
      <w:proofErr w:type="gramStart"/>
      <w:r w:rsidRPr="0092458B">
        <w:rPr>
          <w:sz w:val="24"/>
          <w:szCs w:val="24"/>
          <w:lang w:bidi="en-GB"/>
        </w:rPr>
        <w:t>aforementioned discussion</w:t>
      </w:r>
      <w:proofErr w:type="gramEnd"/>
      <w:r w:rsidRPr="0092458B">
        <w:rPr>
          <w:sz w:val="24"/>
          <w:szCs w:val="24"/>
          <w:lang w:bidi="en-GB"/>
        </w:rPr>
        <w:t xml:space="preserve"> on UBS) and even ‘job guarantees’ for the unemployed (</w:t>
      </w:r>
      <w:proofErr w:type="spellStart"/>
      <w:r w:rsidRPr="0092458B">
        <w:rPr>
          <w:sz w:val="24"/>
          <w:szCs w:val="24"/>
          <w:lang w:bidi="en-GB"/>
        </w:rPr>
        <w:t>Parrique</w:t>
      </w:r>
      <w:proofErr w:type="spellEnd"/>
      <w:r w:rsidRPr="0092458B">
        <w:rPr>
          <w:sz w:val="24"/>
          <w:szCs w:val="24"/>
          <w:lang w:bidi="en-GB"/>
        </w:rPr>
        <w:t>, 2019; Kallis et al., 2018; Cosme, Santos &amp; O’Neill, 2017).</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The most radical visions in this strand of degrowth literature have an origin in anarchism in the form of self-reliant and self-determinant communities, or imagining a civil society nearly absent of state and market. For instance, Trainer (2010) argues that the implications of a degrowth, steady-state economy can only logically mean living in communities absent of growth-oriented markets and financial institutions and with relatively minimal state institutions (Alexander, 2012b). It is not clear in such writings that there would or should be room for the ambitious proposals for universal, publicly provided basic services.</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This approach to degrowth has also been criticised within the literature as being </w:t>
      </w:r>
      <w:r w:rsidRPr="0092458B">
        <w:rPr>
          <w:sz w:val="24"/>
          <w:szCs w:val="24"/>
          <w:lang w:bidi="en-GB"/>
        </w:rPr>
        <w:lastRenderedPageBreak/>
        <w:t xml:space="preserve">utopian and overly romantic with respect to a simpler, self-sufficient way of life (Schmelzer, Vetter &amp; </w:t>
      </w:r>
      <w:proofErr w:type="spellStart"/>
      <w:r w:rsidRPr="0092458B">
        <w:rPr>
          <w:sz w:val="24"/>
          <w:szCs w:val="24"/>
          <w:lang w:bidi="en-GB"/>
        </w:rPr>
        <w:t>Vasintjan</w:t>
      </w:r>
      <w:proofErr w:type="spellEnd"/>
      <w:r w:rsidRPr="0092458B">
        <w:rPr>
          <w:sz w:val="24"/>
          <w:szCs w:val="24"/>
          <w:lang w:bidi="en-GB"/>
        </w:rPr>
        <w:t xml:space="preserve">, 2022). Outright anarchism is not dominant in the literature (see also Koch, 2022a, 2022b on state-civil society relations in degrowth).  However, this strand of degrowth does envisage a substantial expansion of the alternative and informal economy, and this raises some questions with respect to the role and viability of formal social policies.  </w:t>
      </w:r>
      <w:r w:rsidRPr="0092458B">
        <w:rPr>
          <w:sz w:val="24"/>
          <w:szCs w:val="24"/>
          <w:lang w:bidi="en-GB"/>
        </w:rPr>
        <w:tab/>
      </w:r>
      <w:r w:rsidRPr="0092458B">
        <w:rPr>
          <w:sz w:val="24"/>
          <w:szCs w:val="24"/>
          <w:lang w:bidi="en-GB"/>
        </w:rPr>
        <w:tab/>
      </w:r>
      <w:r w:rsidRPr="0092458B">
        <w:rPr>
          <w:sz w:val="24"/>
          <w:szCs w:val="24"/>
          <w:lang w:bidi="en-GB"/>
        </w:rPr>
        <w:tab/>
        <w:t xml:space="preserve">The predominant idea in the literature is that degrowth is realised by complementarities between top-down policy reforms and the spread of bottom-up alternatives. The lack of more conceptual, </w:t>
      </w:r>
      <w:proofErr w:type="gramStart"/>
      <w:r w:rsidRPr="0092458B">
        <w:rPr>
          <w:sz w:val="24"/>
          <w:szCs w:val="24"/>
          <w:lang w:bidi="en-GB"/>
        </w:rPr>
        <w:t>theoretical</w:t>
      </w:r>
      <w:proofErr w:type="gramEnd"/>
      <w:r w:rsidRPr="0092458B">
        <w:rPr>
          <w:sz w:val="24"/>
          <w:szCs w:val="24"/>
          <w:lang w:bidi="en-GB"/>
        </w:rPr>
        <w:t xml:space="preserve"> or strategic clarity beyond this vague idea has been elaborated and addressed in recent work on state-civil society relations and transformational strategies, the latter inspired by the work of Erik Olin Wright (Schmelzer, Vatter &amp; </w:t>
      </w:r>
      <w:proofErr w:type="spellStart"/>
      <w:r w:rsidRPr="0092458B">
        <w:rPr>
          <w:sz w:val="24"/>
          <w:szCs w:val="24"/>
          <w:lang w:bidi="en-GB"/>
        </w:rPr>
        <w:t>Vansintjan</w:t>
      </w:r>
      <w:proofErr w:type="spellEnd"/>
      <w:r w:rsidRPr="0092458B">
        <w:rPr>
          <w:sz w:val="24"/>
          <w:szCs w:val="24"/>
          <w:lang w:bidi="en-GB"/>
        </w:rPr>
        <w:t xml:space="preserve">, 2022; </w:t>
      </w:r>
      <w:proofErr w:type="spellStart"/>
      <w:r w:rsidRPr="0092458B">
        <w:rPr>
          <w:sz w:val="24"/>
          <w:szCs w:val="24"/>
          <w:lang w:bidi="en-GB"/>
        </w:rPr>
        <w:t>Chertkovskaya</w:t>
      </w:r>
      <w:proofErr w:type="spellEnd"/>
      <w:r w:rsidRPr="0092458B">
        <w:rPr>
          <w:sz w:val="24"/>
          <w:szCs w:val="24"/>
          <w:lang w:bidi="en-GB"/>
        </w:rPr>
        <w:t xml:space="preserve">, 2022; Koch, 2022a, 2022b; </w:t>
      </w:r>
      <w:proofErr w:type="spellStart"/>
      <w:r w:rsidRPr="0092458B">
        <w:rPr>
          <w:sz w:val="24"/>
          <w:szCs w:val="24"/>
          <w:lang w:bidi="en-GB"/>
        </w:rPr>
        <w:t>D’Alisa</w:t>
      </w:r>
      <w:proofErr w:type="spellEnd"/>
      <w:r w:rsidRPr="0092458B">
        <w:rPr>
          <w:sz w:val="24"/>
          <w:szCs w:val="24"/>
          <w:lang w:bidi="en-GB"/>
        </w:rPr>
        <w:t xml:space="preserve"> &amp; Kallis, 2020; Wright, 2019). Wright conceptualised three types of transformational change, with ‘interstitial’ strategies including the proliferation of alternatives within capitalism. While initially marginal, successful alternative institutions can proliferate and cumulatively bring about a demand for more transformative and hegemonic change.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00CD04FF" w:rsidRPr="0092458B">
        <w:rPr>
          <w:sz w:val="24"/>
          <w:szCs w:val="24"/>
          <w:lang w:bidi="en-GB"/>
        </w:rPr>
        <w:tab/>
      </w:r>
      <w:r w:rsidR="00CD04FF" w:rsidRPr="0092458B">
        <w:rPr>
          <w:sz w:val="24"/>
          <w:szCs w:val="24"/>
          <w:lang w:bidi="en-GB"/>
        </w:rPr>
        <w:tab/>
      </w:r>
      <w:r w:rsidRPr="0092458B">
        <w:rPr>
          <w:sz w:val="24"/>
          <w:szCs w:val="24"/>
          <w:lang w:bidi="en-GB"/>
        </w:rPr>
        <w:t>This constitutes a natural interstitial path towards degrowth, whereas the social-policy-led transformations of the previous section might represent what Wright labelled ‘symbiotic’ strategies of change. This broadly means making use of the state and existing institutions and reforming them through more traditional political processes. Both logics may provide positive feedback for each other. Finally, ‘</w:t>
      </w:r>
      <w:proofErr w:type="spellStart"/>
      <w:r w:rsidRPr="0092458B">
        <w:rPr>
          <w:sz w:val="24"/>
          <w:szCs w:val="24"/>
          <w:lang w:bidi="en-GB"/>
        </w:rPr>
        <w:t>ruptural</w:t>
      </w:r>
      <w:proofErr w:type="spellEnd"/>
      <w:r w:rsidRPr="0092458B">
        <w:rPr>
          <w:sz w:val="24"/>
          <w:szCs w:val="24"/>
          <w:lang w:bidi="en-GB"/>
        </w:rPr>
        <w:t xml:space="preserve">’ strategies describe confrontational and even revolutionary political acts through which movements seek to dismantle or abolish existing power structures and institutions. Such actions are not widely discussed in the degrowth literature, but they may include more traditional actions such as civil disobedience and mass protests. </w:t>
      </w:r>
    </w:p>
    <w:p w14:paraId="3E8B8032" w14:textId="77777777" w:rsidR="00314FDE" w:rsidRPr="0092458B" w:rsidRDefault="00314FDE" w:rsidP="00D8112B">
      <w:pPr>
        <w:spacing w:line="360" w:lineRule="auto"/>
        <w:rPr>
          <w:b/>
          <w:bCs/>
          <w:sz w:val="28"/>
          <w:szCs w:val="28"/>
          <w:lang w:val="en-US"/>
        </w:rPr>
      </w:pPr>
    </w:p>
    <w:p w14:paraId="4865C97E" w14:textId="222E8320" w:rsidR="000221F8" w:rsidRPr="0092458B" w:rsidRDefault="00351CDA" w:rsidP="00D8112B">
      <w:pPr>
        <w:spacing w:line="360" w:lineRule="auto"/>
        <w:rPr>
          <w:b/>
          <w:bCs/>
          <w:sz w:val="28"/>
          <w:szCs w:val="28"/>
          <w:lang w:val="en-US"/>
        </w:rPr>
      </w:pPr>
      <w:r w:rsidRPr="0092458B">
        <w:rPr>
          <w:b/>
          <w:sz w:val="28"/>
          <w:szCs w:val="28"/>
          <w:lang w:bidi="en-GB"/>
        </w:rPr>
        <w:t xml:space="preserve">Popular support: Dreary limits or a new wellbeing economy? </w:t>
      </w:r>
    </w:p>
    <w:p w14:paraId="41274DA2" w14:textId="48805AB9" w:rsidR="001E6710" w:rsidRPr="0092458B" w:rsidRDefault="00AF1CF6" w:rsidP="00352613">
      <w:pPr>
        <w:spacing w:line="360" w:lineRule="auto"/>
        <w:rPr>
          <w:sz w:val="24"/>
          <w:szCs w:val="24"/>
          <w:lang w:val="en-US"/>
        </w:rPr>
      </w:pPr>
      <w:r w:rsidRPr="0092458B">
        <w:rPr>
          <w:sz w:val="24"/>
          <w:szCs w:val="24"/>
          <w:lang w:bidi="en-GB"/>
        </w:rPr>
        <w:t xml:space="preserve">While the first two sections concerned different challenges with respect to the potential limits of formal social policies and their role vis-à-vis an economy based on </w:t>
      </w:r>
      <w:proofErr w:type="spellStart"/>
      <w:r w:rsidRPr="0092458B">
        <w:rPr>
          <w:sz w:val="24"/>
          <w:szCs w:val="24"/>
          <w:lang w:bidi="en-GB"/>
        </w:rPr>
        <w:t>commoning</w:t>
      </w:r>
      <w:proofErr w:type="spellEnd"/>
      <w:r w:rsidRPr="0092458B">
        <w:rPr>
          <w:sz w:val="24"/>
          <w:szCs w:val="24"/>
          <w:lang w:bidi="en-GB"/>
        </w:rPr>
        <w:t xml:space="preserve"> and </w:t>
      </w:r>
      <w:proofErr w:type="spellStart"/>
      <w:r w:rsidRPr="0092458B">
        <w:rPr>
          <w:sz w:val="24"/>
          <w:szCs w:val="24"/>
          <w:lang w:bidi="en-GB"/>
        </w:rPr>
        <w:t>convivialism</w:t>
      </w:r>
      <w:proofErr w:type="spellEnd"/>
      <w:r w:rsidRPr="0092458B">
        <w:rPr>
          <w:sz w:val="24"/>
          <w:szCs w:val="24"/>
          <w:lang w:bidi="en-GB"/>
        </w:rPr>
        <w:t xml:space="preserve">, this final section raises the challenge of gathering public support. If degrowth aims to transform </w:t>
      </w:r>
      <w:r w:rsidRPr="0092458B">
        <w:rPr>
          <w:sz w:val="24"/>
          <w:szCs w:val="24"/>
          <w:lang w:bidi="en-GB"/>
        </w:rPr>
        <w:lastRenderedPageBreak/>
        <w:t>societies through both the interstitial and symbiotic strategies outlined above, it must expand its support base beyond smaller activist groups and academic environments. Public support greatly increases the likelihood that policy ideas will survive the policy process (Schaffer, Ohl &amp; Bernauer, 2022; Burstein, 2003).</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00416CDE" w:rsidRPr="0092458B">
        <w:rPr>
          <w:sz w:val="24"/>
          <w:szCs w:val="24"/>
          <w:lang w:bidi="en-GB"/>
        </w:rPr>
        <w:tab/>
      </w:r>
      <w:r w:rsidRPr="0092458B">
        <w:rPr>
          <w:sz w:val="24"/>
          <w:szCs w:val="24"/>
          <w:lang w:bidi="en-GB"/>
        </w:rPr>
        <w:t xml:space="preserve">This is certainly a challenge considering that the established growth paradigm constitutes the political order. For instance, Buch-Hansen &amp; Carstensen (2021) conceptualise degrowth as a ‘fourth-order change’ beyond more familiar third-order paradigms operating within the growth economy, and this renders it antagonistic to most predominant elites, including epistemic communities (beyond the sustainability sciences), established policymakers and especially economic interests. With few power resources in this respect, degrowth advocates often envisage change via social movements and eventually broader public support (Schulken et al., 2022; </w:t>
      </w:r>
      <w:proofErr w:type="spellStart"/>
      <w:r w:rsidRPr="0092458B">
        <w:rPr>
          <w:sz w:val="24"/>
          <w:szCs w:val="24"/>
          <w:lang w:bidi="en-GB"/>
        </w:rPr>
        <w:t>Rilovic</w:t>
      </w:r>
      <w:proofErr w:type="spellEnd"/>
      <w:r w:rsidRPr="0092458B">
        <w:rPr>
          <w:sz w:val="24"/>
          <w:szCs w:val="24"/>
          <w:lang w:bidi="en-GB"/>
        </w:rPr>
        <w:t>, 2022; Buch-Hansen &amp; Carstensen, 2021; Buch-Hansen, 2018).</w:t>
      </w:r>
      <w:r w:rsidRPr="0092458B">
        <w:rPr>
          <w:sz w:val="24"/>
          <w:szCs w:val="24"/>
          <w:lang w:bidi="en-GB"/>
        </w:rPr>
        <w:tab/>
      </w:r>
      <w:r w:rsidRPr="0092458B">
        <w:rPr>
          <w:sz w:val="24"/>
          <w:szCs w:val="24"/>
          <w:lang w:bidi="en-GB"/>
        </w:rPr>
        <w:tab/>
      </w:r>
      <w:r w:rsidRPr="0092458B">
        <w:rPr>
          <w:sz w:val="24"/>
          <w:szCs w:val="24"/>
          <w:lang w:bidi="en-GB"/>
        </w:rPr>
        <w:tab/>
        <w:t xml:space="preserve">There is substantial evidence that environmental politics is more likely to be successful when redistributive concerns are taken into account, and more likely to fail if for instance reforms of taxes and levies have regressive effects, alongside other important determinants of support such as environmental values, political trust and perceived policy efficiency (Gaikwad, Genovese &amp; Tingley, 2022; Bergquist et al., 2022; Bumann, 2021; Drews &amp; van den Bergh, 2016a). Some of the literature has discussed whether support for environmental policies and support for social policies complement each other or rather crowd each other out, and it is possible to identify a complex mosaic of high to low support for both policy fields (Emilsson, 2022a, 2022b, </w:t>
      </w:r>
      <w:proofErr w:type="spellStart"/>
      <w:r w:rsidRPr="0092458B">
        <w:rPr>
          <w:sz w:val="24"/>
          <w:szCs w:val="24"/>
          <w:lang w:bidi="en-GB"/>
        </w:rPr>
        <w:t>Heggebø</w:t>
      </w:r>
      <w:proofErr w:type="spellEnd"/>
      <w:r w:rsidRPr="0092458B">
        <w:rPr>
          <w:sz w:val="24"/>
          <w:szCs w:val="24"/>
          <w:lang w:bidi="en-GB"/>
        </w:rPr>
        <w:t xml:space="preserve"> &amp; </w:t>
      </w:r>
      <w:proofErr w:type="spellStart"/>
      <w:r w:rsidRPr="0092458B">
        <w:rPr>
          <w:sz w:val="24"/>
          <w:szCs w:val="24"/>
          <w:lang w:bidi="en-GB"/>
        </w:rPr>
        <w:t>Hvinden</w:t>
      </w:r>
      <w:proofErr w:type="spellEnd"/>
      <w:r w:rsidRPr="0092458B">
        <w:rPr>
          <w:sz w:val="24"/>
          <w:szCs w:val="24"/>
          <w:lang w:bidi="en-GB"/>
        </w:rPr>
        <w:t xml:space="preserve">, 2022; Otto &amp; Gugushvili, 2020). This indicates a need for policy agendas that seek to avoid trade-offs in these policy fields </w:t>
      </w:r>
      <w:proofErr w:type="gramStart"/>
      <w:r w:rsidRPr="0092458B">
        <w:rPr>
          <w:sz w:val="24"/>
          <w:szCs w:val="24"/>
          <w:lang w:bidi="en-GB"/>
        </w:rPr>
        <w:t>in order to</w:t>
      </w:r>
      <w:proofErr w:type="gramEnd"/>
      <w:r w:rsidRPr="0092458B">
        <w:rPr>
          <w:sz w:val="24"/>
          <w:szCs w:val="24"/>
          <w:lang w:bidi="en-GB"/>
        </w:rPr>
        <w:t xml:space="preserve"> unite coalitions and achieve broader support. As previously mentioned, there is some support for a ‘synergy’ logic at a national level, where more encompassing or universal welfare states are reflected to a larger extent in better support for both policy fields (</w:t>
      </w:r>
      <w:proofErr w:type="spellStart"/>
      <w:r w:rsidRPr="0092458B">
        <w:rPr>
          <w:sz w:val="24"/>
          <w:szCs w:val="24"/>
          <w:lang w:bidi="en-GB"/>
        </w:rPr>
        <w:t>Heggebø</w:t>
      </w:r>
      <w:proofErr w:type="spellEnd"/>
      <w:r w:rsidRPr="0092458B">
        <w:rPr>
          <w:sz w:val="24"/>
          <w:szCs w:val="24"/>
          <w:lang w:bidi="en-GB"/>
        </w:rPr>
        <w:t xml:space="preserve"> &amp; </w:t>
      </w:r>
      <w:proofErr w:type="spellStart"/>
      <w:r w:rsidRPr="0092458B">
        <w:rPr>
          <w:sz w:val="24"/>
          <w:szCs w:val="24"/>
          <w:lang w:bidi="en-GB"/>
        </w:rPr>
        <w:t>Hvinden</w:t>
      </w:r>
      <w:proofErr w:type="spellEnd"/>
      <w:r w:rsidRPr="0092458B">
        <w:rPr>
          <w:sz w:val="24"/>
          <w:szCs w:val="24"/>
          <w:lang w:bidi="en-GB"/>
        </w:rPr>
        <w:t xml:space="preserve">, 2022; Sivonen &amp; Kukkonen, 2021; Fritz &amp; Koch, 2019).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Environmentalism or environmental values constitute</w:t>
      </w:r>
      <w:r w:rsidR="00C85261" w:rsidRPr="0092458B">
        <w:rPr>
          <w:sz w:val="24"/>
          <w:szCs w:val="24"/>
          <w:lang w:bidi="en-GB"/>
        </w:rPr>
        <w:t>s</w:t>
      </w:r>
      <w:r w:rsidRPr="0092458B">
        <w:rPr>
          <w:sz w:val="24"/>
          <w:szCs w:val="24"/>
          <w:lang w:bidi="en-GB"/>
        </w:rPr>
        <w:t xml:space="preserve"> an independent set of values (conceptualised</w:t>
      </w:r>
      <w:r w:rsidR="007E3C81" w:rsidRPr="0092458B">
        <w:rPr>
          <w:sz w:val="24"/>
          <w:szCs w:val="24"/>
          <w:lang w:bidi="en-GB"/>
        </w:rPr>
        <w:t xml:space="preserve"> in different studies</w:t>
      </w:r>
      <w:r w:rsidRPr="0092458B">
        <w:rPr>
          <w:sz w:val="24"/>
          <w:szCs w:val="24"/>
          <w:lang w:bidi="en-GB"/>
        </w:rPr>
        <w:t xml:space="preserve"> as ‘</w:t>
      </w:r>
      <w:proofErr w:type="spellStart"/>
      <w:r w:rsidRPr="0092458B">
        <w:rPr>
          <w:sz w:val="24"/>
          <w:szCs w:val="24"/>
          <w:lang w:bidi="en-GB"/>
        </w:rPr>
        <w:t>biospheric</w:t>
      </w:r>
      <w:proofErr w:type="spellEnd"/>
      <w:r w:rsidRPr="0092458B">
        <w:rPr>
          <w:sz w:val="24"/>
          <w:szCs w:val="24"/>
          <w:lang w:bidi="en-GB"/>
        </w:rPr>
        <w:t xml:space="preserve">’, ‘new ecological paradigm’, ‘self-transcendence’ or </w:t>
      </w:r>
      <w:r w:rsidR="00794365" w:rsidRPr="0092458B">
        <w:rPr>
          <w:sz w:val="24"/>
          <w:szCs w:val="24"/>
          <w:lang w:bidi="en-GB"/>
        </w:rPr>
        <w:t>the broader set</w:t>
      </w:r>
      <w:r w:rsidR="007E3C81" w:rsidRPr="0092458B">
        <w:rPr>
          <w:sz w:val="24"/>
          <w:szCs w:val="24"/>
          <w:lang w:bidi="en-GB"/>
        </w:rPr>
        <w:t xml:space="preserve"> of</w:t>
      </w:r>
      <w:r w:rsidR="00794365" w:rsidRPr="0092458B">
        <w:rPr>
          <w:sz w:val="24"/>
          <w:szCs w:val="24"/>
          <w:lang w:bidi="en-GB"/>
        </w:rPr>
        <w:t xml:space="preserve"> </w:t>
      </w:r>
      <w:r w:rsidRPr="0092458B">
        <w:rPr>
          <w:sz w:val="24"/>
          <w:szCs w:val="24"/>
          <w:lang w:bidi="en-GB"/>
        </w:rPr>
        <w:t>‘postmaterial</w:t>
      </w:r>
      <w:r w:rsidR="00794365" w:rsidRPr="0092458B">
        <w:rPr>
          <w:sz w:val="24"/>
          <w:szCs w:val="24"/>
          <w:lang w:bidi="en-GB"/>
        </w:rPr>
        <w:t>i</w:t>
      </w:r>
      <w:r w:rsidRPr="0092458B">
        <w:rPr>
          <w:sz w:val="24"/>
          <w:szCs w:val="24"/>
          <w:lang w:bidi="en-GB"/>
        </w:rPr>
        <w:t>s</w:t>
      </w:r>
      <w:r w:rsidR="00794365" w:rsidRPr="0092458B">
        <w:rPr>
          <w:sz w:val="24"/>
          <w:szCs w:val="24"/>
          <w:lang w:bidi="en-GB"/>
        </w:rPr>
        <w:t>t</w:t>
      </w:r>
      <w:r w:rsidR="007E3C81" w:rsidRPr="0092458B">
        <w:rPr>
          <w:sz w:val="24"/>
          <w:szCs w:val="24"/>
          <w:lang w:bidi="en-GB"/>
        </w:rPr>
        <w:t>’</w:t>
      </w:r>
      <w:r w:rsidR="00794365" w:rsidRPr="0092458B">
        <w:rPr>
          <w:sz w:val="24"/>
          <w:szCs w:val="24"/>
          <w:lang w:bidi="en-GB"/>
        </w:rPr>
        <w:t xml:space="preserve"> values</w:t>
      </w:r>
      <w:r w:rsidRPr="0092458B">
        <w:rPr>
          <w:sz w:val="24"/>
          <w:szCs w:val="24"/>
          <w:lang w:bidi="en-GB"/>
        </w:rPr>
        <w:t xml:space="preserve">, see for instance Smith &amp; Hempel, 2022; Bouman et al., 2018, Dietz et al., 2005 for more). However, there is still a tendency for environmentalism to </w:t>
      </w:r>
      <w:r w:rsidRPr="0092458B">
        <w:rPr>
          <w:sz w:val="24"/>
          <w:szCs w:val="24"/>
          <w:lang w:bidi="en-GB"/>
        </w:rPr>
        <w:lastRenderedPageBreak/>
        <w:t xml:space="preserve">be associated with left-wing ideology, especially when we move from broad attitudes and values to attitudes to specific policy tools with material and distributional consequences (Kenny &amp; </w:t>
      </w:r>
      <w:proofErr w:type="spellStart"/>
      <w:r w:rsidRPr="0092458B">
        <w:rPr>
          <w:sz w:val="24"/>
          <w:szCs w:val="24"/>
          <w:lang w:bidi="en-GB"/>
        </w:rPr>
        <w:t>Langsæther</w:t>
      </w:r>
      <w:proofErr w:type="spellEnd"/>
      <w:r w:rsidRPr="0092458B">
        <w:rPr>
          <w:sz w:val="24"/>
          <w:szCs w:val="24"/>
          <w:lang w:bidi="en-GB"/>
        </w:rPr>
        <w:t>, 2022; Smith &amp; Hempel, 2022; Khan et al., 2022; Bumann, 2021; Sivonen &amp; Koivula, 2020; Drews &amp; van den Bergh, 2016a)</w:t>
      </w:r>
      <w:r w:rsidRPr="0092458B">
        <w:rPr>
          <w:sz w:val="24"/>
          <w:szCs w:val="24"/>
          <w:lang w:bidi="en-GB"/>
        </w:rPr>
        <w:tab/>
      </w:r>
      <w:r w:rsidR="00447D4C" w:rsidRPr="0092458B">
        <w:rPr>
          <w:sz w:val="24"/>
          <w:szCs w:val="24"/>
          <w:lang w:bidi="en-GB"/>
        </w:rPr>
        <w:tab/>
      </w:r>
      <w:r w:rsidR="00447D4C" w:rsidRPr="0092458B">
        <w:rPr>
          <w:sz w:val="24"/>
          <w:szCs w:val="24"/>
          <w:lang w:bidi="en-GB"/>
        </w:rPr>
        <w:tab/>
      </w:r>
      <w:r w:rsidR="00447D4C" w:rsidRPr="0092458B">
        <w:rPr>
          <w:sz w:val="24"/>
          <w:szCs w:val="24"/>
          <w:lang w:bidi="en-GB"/>
        </w:rPr>
        <w:tab/>
      </w:r>
      <w:r w:rsidR="00447D4C" w:rsidRPr="0092458B">
        <w:rPr>
          <w:sz w:val="24"/>
          <w:szCs w:val="24"/>
          <w:lang w:bidi="en-GB"/>
        </w:rPr>
        <w:tab/>
      </w:r>
      <w:r w:rsidR="00447D4C" w:rsidRPr="0092458B">
        <w:rPr>
          <w:sz w:val="24"/>
          <w:szCs w:val="24"/>
          <w:lang w:bidi="en-GB"/>
        </w:rPr>
        <w:tab/>
      </w:r>
      <w:r w:rsidRPr="0092458B">
        <w:rPr>
          <w:sz w:val="24"/>
          <w:szCs w:val="24"/>
          <w:lang w:bidi="en-GB"/>
        </w:rPr>
        <w:t xml:space="preserve">This suggests that strong environmental policies, especially when coupled with social policies that are strongly left of centre, may struggle to escape a smaller constituency of left-wing voters. In other words, an impression of degrowth as a form of </w:t>
      </w:r>
      <w:proofErr w:type="spellStart"/>
      <w:r w:rsidRPr="0092458B">
        <w:rPr>
          <w:sz w:val="24"/>
          <w:szCs w:val="24"/>
          <w:lang w:bidi="en-GB"/>
        </w:rPr>
        <w:t>ecosocialism</w:t>
      </w:r>
      <w:proofErr w:type="spellEnd"/>
      <w:r w:rsidRPr="0092458B">
        <w:rPr>
          <w:sz w:val="24"/>
          <w:szCs w:val="24"/>
          <w:lang w:bidi="en-GB"/>
        </w:rPr>
        <w:t xml:space="preserve"> can also present a major challenge for degrowth in terms of the current public mood (Albert, 2022; Buch-Hansen, 2018). </w:t>
      </w:r>
      <w:r w:rsidRPr="0092458B">
        <w:rPr>
          <w:sz w:val="24"/>
          <w:szCs w:val="24"/>
          <w:lang w:bidi="en-GB"/>
        </w:rPr>
        <w:tab/>
      </w:r>
      <w:r w:rsidRPr="0092458B">
        <w:rPr>
          <w:sz w:val="24"/>
          <w:szCs w:val="24"/>
          <w:lang w:bidi="en-GB"/>
        </w:rPr>
        <w:tab/>
      </w:r>
      <w:r w:rsidR="00416CDE" w:rsidRPr="0092458B">
        <w:rPr>
          <w:sz w:val="24"/>
          <w:szCs w:val="24"/>
          <w:lang w:bidi="en-GB"/>
        </w:rPr>
        <w:tab/>
      </w:r>
      <w:r w:rsidR="00416CDE" w:rsidRPr="0092458B">
        <w:rPr>
          <w:sz w:val="24"/>
          <w:szCs w:val="24"/>
          <w:lang w:bidi="en-GB"/>
        </w:rPr>
        <w:tab/>
      </w:r>
      <w:r w:rsidR="00416CDE" w:rsidRPr="0092458B">
        <w:rPr>
          <w:sz w:val="24"/>
          <w:szCs w:val="24"/>
          <w:lang w:bidi="en-GB"/>
        </w:rPr>
        <w:tab/>
      </w:r>
      <w:r w:rsidR="00416CDE" w:rsidRPr="0092458B">
        <w:rPr>
          <w:sz w:val="24"/>
          <w:szCs w:val="24"/>
          <w:lang w:bidi="en-GB"/>
        </w:rPr>
        <w:tab/>
      </w:r>
      <w:r w:rsidR="00416CDE" w:rsidRPr="0092458B">
        <w:rPr>
          <w:sz w:val="24"/>
          <w:szCs w:val="24"/>
          <w:lang w:bidi="en-GB"/>
        </w:rPr>
        <w:tab/>
      </w:r>
      <w:r w:rsidR="00416CDE" w:rsidRPr="0092458B">
        <w:rPr>
          <w:sz w:val="24"/>
          <w:szCs w:val="24"/>
          <w:lang w:bidi="en-GB"/>
        </w:rPr>
        <w:tab/>
      </w:r>
      <w:r w:rsidRPr="0092458B">
        <w:rPr>
          <w:sz w:val="24"/>
          <w:szCs w:val="24"/>
          <w:lang w:bidi="en-GB"/>
        </w:rPr>
        <w:t xml:space="preserve">We know very little about popular support for degrowth aims and specific policy proposals. Using a single question that has featured in </w:t>
      </w:r>
      <w:proofErr w:type="gramStart"/>
      <w:r w:rsidRPr="0092458B">
        <w:rPr>
          <w:sz w:val="24"/>
          <w:szCs w:val="24"/>
          <w:lang w:bidi="en-GB"/>
        </w:rPr>
        <w:t>a number of</w:t>
      </w:r>
      <w:proofErr w:type="gramEnd"/>
      <w:r w:rsidRPr="0092458B">
        <w:rPr>
          <w:sz w:val="24"/>
          <w:szCs w:val="24"/>
          <w:lang w:bidi="en-GB"/>
        </w:rPr>
        <w:t xml:space="preserve"> surveys in recent decades, Paulson &amp; </w:t>
      </w:r>
      <w:proofErr w:type="spellStart"/>
      <w:r w:rsidRPr="0092458B">
        <w:rPr>
          <w:sz w:val="24"/>
          <w:szCs w:val="24"/>
          <w:lang w:bidi="en-GB"/>
        </w:rPr>
        <w:t>Büchs</w:t>
      </w:r>
      <w:proofErr w:type="spellEnd"/>
      <w:r w:rsidRPr="0092458B">
        <w:rPr>
          <w:sz w:val="24"/>
          <w:szCs w:val="24"/>
          <w:lang w:bidi="en-GB"/>
        </w:rPr>
        <w:t xml:space="preserve"> (2022) and Gugushvili (2021) revealed that the majority of people in many European countries are in favour of prioritising the environment, even if this would lead to job losses or slower economic growth. Utilising </w:t>
      </w:r>
      <w:proofErr w:type="gramStart"/>
      <w:r w:rsidRPr="0092458B">
        <w:rPr>
          <w:sz w:val="24"/>
          <w:szCs w:val="24"/>
          <w:lang w:bidi="en-GB"/>
        </w:rPr>
        <w:t>a large number of</w:t>
      </w:r>
      <w:proofErr w:type="gramEnd"/>
      <w:r w:rsidRPr="0092458B">
        <w:rPr>
          <w:sz w:val="24"/>
          <w:szCs w:val="24"/>
          <w:lang w:bidi="en-GB"/>
        </w:rPr>
        <w:t xml:space="preserve"> items that better </w:t>
      </w:r>
      <w:r w:rsidR="00192031" w:rsidRPr="0092458B">
        <w:rPr>
          <w:iCs/>
          <w:sz w:val="24"/>
          <w:szCs w:val="24"/>
          <w:lang w:val="en-US"/>
        </w:rPr>
        <w:t>reflect</w:t>
      </w:r>
      <w:r w:rsidRPr="0092458B">
        <w:rPr>
          <w:sz w:val="24"/>
          <w:szCs w:val="24"/>
          <w:lang w:bidi="en-GB"/>
        </w:rPr>
        <w:t xml:space="preserve"> discussions of green growth, degrowth and a-growth, Drews &amp; van den Bergh (2016b) found that around a third of the Spanish population holds a growth-critical stance in opposition to green growth. </w:t>
      </w:r>
      <w:r w:rsidRPr="0092458B">
        <w:rPr>
          <w:sz w:val="24"/>
          <w:szCs w:val="24"/>
          <w:lang w:bidi="en-GB"/>
        </w:rPr>
        <w:tab/>
      </w:r>
      <w:r w:rsidRPr="0092458B">
        <w:rPr>
          <w:sz w:val="24"/>
          <w:szCs w:val="24"/>
          <w:lang w:bidi="en-GB"/>
        </w:rPr>
        <w:tab/>
        <w:t xml:space="preserve">In addition, even less is known about public support specifically for the more radical social policies advocated in the degrowth literature. Khan et al. (2022) measured the support for five prominent </w:t>
      </w:r>
      <w:proofErr w:type="spellStart"/>
      <w:r w:rsidRPr="0092458B">
        <w:rPr>
          <w:sz w:val="24"/>
          <w:szCs w:val="24"/>
          <w:lang w:bidi="en-GB"/>
        </w:rPr>
        <w:t>ecosocial</w:t>
      </w:r>
      <w:proofErr w:type="spellEnd"/>
      <w:r w:rsidRPr="0092458B">
        <w:rPr>
          <w:sz w:val="24"/>
          <w:szCs w:val="24"/>
          <w:lang w:bidi="en-GB"/>
        </w:rPr>
        <w:t xml:space="preserve"> (and degrowth-related) policies in Sweden, namely a reduction in working hours, wealth tax, maximum income, basic </w:t>
      </w:r>
      <w:proofErr w:type="gramStart"/>
      <w:r w:rsidRPr="0092458B">
        <w:rPr>
          <w:sz w:val="24"/>
          <w:szCs w:val="24"/>
          <w:lang w:bidi="en-GB"/>
        </w:rPr>
        <w:t>income</w:t>
      </w:r>
      <w:proofErr w:type="gramEnd"/>
      <w:r w:rsidRPr="0092458B">
        <w:rPr>
          <w:sz w:val="24"/>
          <w:szCs w:val="24"/>
          <w:lang w:bidi="en-GB"/>
        </w:rPr>
        <w:t xml:space="preserve"> and meat tax. The most popular policy was a reduction in working hours, with support from around 50% of the population, followed by a wealth tax and meat tax at 40% and 30%, respectively, while maximum income and basic income only gained support from 25% and 15%, respectively. The study also found that the dominant predictor of support for such policies is left-right orientation, rather than pro-environmental attitudes. </w:t>
      </w:r>
      <w:r w:rsidRPr="0092458B">
        <w:rPr>
          <w:sz w:val="24"/>
          <w:szCs w:val="24"/>
          <w:lang w:bidi="en-GB"/>
        </w:rPr>
        <w:tab/>
      </w:r>
      <w:r w:rsidRPr="0092458B">
        <w:rPr>
          <w:sz w:val="24"/>
          <w:szCs w:val="24"/>
          <w:lang w:bidi="en-GB"/>
        </w:rPr>
        <w:tab/>
      </w:r>
      <w:r w:rsidR="00416CDE" w:rsidRPr="0092458B">
        <w:rPr>
          <w:sz w:val="24"/>
          <w:szCs w:val="24"/>
          <w:lang w:bidi="en-GB"/>
        </w:rPr>
        <w:tab/>
      </w:r>
      <w:r w:rsidR="00416CDE" w:rsidRPr="0092458B">
        <w:rPr>
          <w:sz w:val="24"/>
          <w:szCs w:val="24"/>
          <w:lang w:bidi="en-GB"/>
        </w:rPr>
        <w:tab/>
      </w:r>
      <w:r w:rsidR="00416CDE" w:rsidRPr="0092458B">
        <w:rPr>
          <w:sz w:val="24"/>
          <w:szCs w:val="24"/>
          <w:lang w:bidi="en-GB"/>
        </w:rPr>
        <w:tab/>
      </w:r>
      <w:r w:rsidR="00416CDE" w:rsidRPr="0092458B">
        <w:rPr>
          <w:sz w:val="24"/>
          <w:szCs w:val="24"/>
          <w:lang w:bidi="en-GB"/>
        </w:rPr>
        <w:tab/>
      </w:r>
      <w:r w:rsidR="00416CDE" w:rsidRPr="0092458B">
        <w:rPr>
          <w:sz w:val="24"/>
          <w:szCs w:val="24"/>
          <w:lang w:bidi="en-GB"/>
        </w:rPr>
        <w:tab/>
      </w:r>
      <w:r w:rsidRPr="0092458B">
        <w:rPr>
          <w:sz w:val="24"/>
          <w:szCs w:val="24"/>
          <w:lang w:bidi="en-GB"/>
        </w:rPr>
        <w:t xml:space="preserve">More is known about support for UBI specifically, especially following a new item introduced to the European Social Survey in 2016 (Chrisp, </w:t>
      </w:r>
      <w:proofErr w:type="spellStart"/>
      <w:r w:rsidRPr="0092458B">
        <w:rPr>
          <w:sz w:val="24"/>
          <w:szCs w:val="24"/>
          <w:lang w:bidi="en-GB"/>
        </w:rPr>
        <w:t>Laenen</w:t>
      </w:r>
      <w:proofErr w:type="spellEnd"/>
      <w:r w:rsidRPr="0092458B">
        <w:rPr>
          <w:sz w:val="24"/>
          <w:szCs w:val="24"/>
          <w:lang w:bidi="en-GB"/>
        </w:rPr>
        <w:t xml:space="preserve"> &amp; Oorschot, 2020; Roosma &amp; Oorschot, 2020). In Europe, support varied from large minorities to clear majorities in favour, with higher support in countries where existing safety nets are less encompassing. </w:t>
      </w:r>
      <w:r w:rsidRPr="0092458B">
        <w:rPr>
          <w:sz w:val="24"/>
          <w:szCs w:val="24"/>
          <w:lang w:bidi="en-GB"/>
        </w:rPr>
        <w:tab/>
      </w:r>
      <w:r w:rsidRPr="0092458B">
        <w:rPr>
          <w:sz w:val="24"/>
          <w:szCs w:val="24"/>
          <w:lang w:bidi="en-GB"/>
        </w:rPr>
        <w:tab/>
      </w:r>
      <w:r w:rsidRPr="0092458B">
        <w:rPr>
          <w:sz w:val="24"/>
          <w:szCs w:val="24"/>
          <w:lang w:bidi="en-GB"/>
        </w:rPr>
        <w:tab/>
      </w:r>
      <w:r w:rsidR="00BD4EDB" w:rsidRPr="0092458B">
        <w:rPr>
          <w:sz w:val="24"/>
          <w:szCs w:val="24"/>
          <w:lang w:bidi="en-GB"/>
        </w:rPr>
        <w:t>In short, a</w:t>
      </w:r>
      <w:r w:rsidRPr="0092458B">
        <w:rPr>
          <w:sz w:val="24"/>
          <w:szCs w:val="24"/>
          <w:lang w:bidi="en-GB"/>
        </w:rPr>
        <w:t xml:space="preserve">lthough the research is still limited, </w:t>
      </w:r>
      <w:r w:rsidR="0033697D" w:rsidRPr="0092458B">
        <w:rPr>
          <w:sz w:val="24"/>
          <w:szCs w:val="24"/>
          <w:lang w:bidi="en-GB"/>
        </w:rPr>
        <w:t>we see</w:t>
      </w:r>
      <w:r w:rsidRPr="0092458B">
        <w:rPr>
          <w:sz w:val="24"/>
          <w:szCs w:val="24"/>
          <w:lang w:bidi="en-GB"/>
        </w:rPr>
        <w:t xml:space="preserve"> a mix of strong ideological </w:t>
      </w:r>
      <w:r w:rsidRPr="0092458B">
        <w:rPr>
          <w:sz w:val="24"/>
          <w:szCs w:val="24"/>
          <w:lang w:bidi="en-GB"/>
        </w:rPr>
        <w:lastRenderedPageBreak/>
        <w:t xml:space="preserve">barriers with some potential for wider support. For advocates of degrowth, this might be encouraging as they are far from the popular-movement-like dynamics they </w:t>
      </w:r>
      <w:proofErr w:type="gramStart"/>
      <w:r w:rsidRPr="0092458B">
        <w:rPr>
          <w:sz w:val="24"/>
          <w:szCs w:val="24"/>
          <w:lang w:bidi="en-GB"/>
        </w:rPr>
        <w:t>envisage, and</w:t>
      </w:r>
      <w:proofErr w:type="gramEnd"/>
      <w:r w:rsidRPr="0092458B">
        <w:rPr>
          <w:sz w:val="24"/>
          <w:szCs w:val="24"/>
          <w:lang w:bidi="en-GB"/>
        </w:rPr>
        <w:t xml:space="preserve"> considering that degrowth policies are not often promoted by established political actors. </w:t>
      </w:r>
      <w:r w:rsidRPr="0092458B">
        <w:rPr>
          <w:sz w:val="24"/>
          <w:szCs w:val="24"/>
          <w:lang w:bidi="en-GB"/>
        </w:rPr>
        <w:tab/>
      </w:r>
      <w:r w:rsidRPr="0092458B">
        <w:rPr>
          <w:sz w:val="24"/>
          <w:szCs w:val="24"/>
          <w:lang w:bidi="en-GB"/>
        </w:rPr>
        <w:tab/>
        <w:t xml:space="preserve">Proponents of degrowth might find further hope of escaping the current barriers in the nascent research on ‘social tipping points’ and how this relates to pro-environmental behaviours and attitudes (Andrighetto &amp; Vriens, 2022; Winkelmann et al., 2022; Otto et al., 2020). This research investigates how marginal movements and small minorities above a certain threshold of public involvement or support can at times give birth to broader, more popular shifts and rapid changes. The thresholds in this research vary from small, marginal minorities to larger minorities, but the main point is that it is possible for initially small movements to trigger rapid, non-linear societal transformations. </w:t>
      </w:r>
      <w:r w:rsidRPr="0092458B">
        <w:rPr>
          <w:sz w:val="24"/>
          <w:szCs w:val="24"/>
          <w:lang w:bidi="en-GB"/>
        </w:rPr>
        <w:tab/>
      </w:r>
      <w:r w:rsidRPr="0092458B">
        <w:rPr>
          <w:sz w:val="24"/>
          <w:szCs w:val="24"/>
          <w:lang w:bidi="en-GB"/>
        </w:rPr>
        <w:tab/>
      </w:r>
      <w:r w:rsidRPr="0092458B">
        <w:rPr>
          <w:sz w:val="24"/>
          <w:szCs w:val="24"/>
          <w:lang w:bidi="en-GB"/>
        </w:rPr>
        <w:tab/>
      </w:r>
      <w:r w:rsidR="00416CDE" w:rsidRPr="0092458B">
        <w:rPr>
          <w:sz w:val="24"/>
          <w:szCs w:val="24"/>
          <w:lang w:bidi="en-GB"/>
        </w:rPr>
        <w:tab/>
      </w:r>
      <w:r w:rsidR="00416CDE" w:rsidRPr="0092458B">
        <w:rPr>
          <w:sz w:val="24"/>
          <w:szCs w:val="24"/>
          <w:lang w:bidi="en-GB"/>
        </w:rPr>
        <w:tab/>
      </w:r>
      <w:r w:rsidRPr="0092458B">
        <w:rPr>
          <w:sz w:val="24"/>
          <w:szCs w:val="24"/>
          <w:lang w:bidi="en-GB"/>
        </w:rPr>
        <w:t xml:space="preserve">However, degrowth still presupposes a non-trivial change with respect to fundamental values or norms and identities. This was previously outlined as a cultural shift from hedonic to </w:t>
      </w:r>
      <w:proofErr w:type="spellStart"/>
      <w:r w:rsidRPr="0092458B">
        <w:rPr>
          <w:sz w:val="24"/>
          <w:szCs w:val="24"/>
          <w:lang w:bidi="en-GB"/>
        </w:rPr>
        <w:t>eudaimonic</w:t>
      </w:r>
      <w:proofErr w:type="spellEnd"/>
      <w:r w:rsidRPr="0092458B">
        <w:rPr>
          <w:sz w:val="24"/>
          <w:szCs w:val="24"/>
          <w:lang w:bidi="en-GB"/>
        </w:rPr>
        <w:t xml:space="preserve"> and needs-based conceptualisations of wellbeing.  This is a larger ambition and challenge for degrowth. It is intended to be an emancipatory vision for a new wellbeing economy, but the concept of degrowth, as well as ‘</w:t>
      </w:r>
      <w:proofErr w:type="gramStart"/>
      <w:r w:rsidRPr="0092458B">
        <w:rPr>
          <w:sz w:val="24"/>
          <w:szCs w:val="24"/>
          <w:lang w:bidi="en-GB"/>
        </w:rPr>
        <w:t>needs’</w:t>
      </w:r>
      <w:proofErr w:type="gramEnd"/>
      <w:r w:rsidRPr="0092458B">
        <w:rPr>
          <w:sz w:val="24"/>
          <w:szCs w:val="24"/>
          <w:lang w:bidi="en-GB"/>
        </w:rPr>
        <w:t xml:space="preserve"> and ‘sufficiency’, might carry entirely different connotations to austerity, inconvenience and constraints from a ‘wants-based’ or hedonic approach. For the same reason, some advocates have discussed whether ‘degrowth’ is a ‘missile word that backfires’ and whether other terms should be used in public discussions (Drews &amp; Antal, 2016). Other, more positive frames of the basic vision might appeal to broader segments of the population (Smith, Baranowski &amp; Schmid, 2021; Drews &amp; Antal, 2016). </w:t>
      </w:r>
    </w:p>
    <w:p w14:paraId="0FBDF4C7" w14:textId="77777777" w:rsidR="00314FDE" w:rsidRPr="0092458B" w:rsidRDefault="00314FDE" w:rsidP="00D8112B">
      <w:pPr>
        <w:spacing w:line="360" w:lineRule="auto"/>
        <w:rPr>
          <w:b/>
          <w:bCs/>
          <w:sz w:val="28"/>
          <w:szCs w:val="28"/>
          <w:lang w:val="en-US"/>
        </w:rPr>
      </w:pPr>
    </w:p>
    <w:p w14:paraId="69C58F86" w14:textId="5578A0CE" w:rsidR="00F23899" w:rsidRPr="0092458B" w:rsidRDefault="001E6710" w:rsidP="00D8112B">
      <w:pPr>
        <w:spacing w:line="360" w:lineRule="auto"/>
        <w:rPr>
          <w:b/>
          <w:bCs/>
          <w:sz w:val="28"/>
          <w:szCs w:val="28"/>
          <w:lang w:val="en-US"/>
        </w:rPr>
      </w:pPr>
      <w:r w:rsidRPr="0092458B">
        <w:rPr>
          <w:b/>
          <w:sz w:val="28"/>
          <w:szCs w:val="28"/>
          <w:lang w:bidi="en-GB"/>
        </w:rPr>
        <w:t>Conclusion</w:t>
      </w:r>
    </w:p>
    <w:p w14:paraId="79162B60" w14:textId="2120EB58" w:rsidR="009256F5" w:rsidRPr="0092458B" w:rsidRDefault="00996BE8" w:rsidP="0072206A">
      <w:pPr>
        <w:spacing w:line="360" w:lineRule="auto"/>
        <w:rPr>
          <w:iCs/>
          <w:sz w:val="24"/>
          <w:szCs w:val="24"/>
          <w:lang w:val="en-US"/>
        </w:rPr>
      </w:pPr>
      <w:r w:rsidRPr="0092458B">
        <w:rPr>
          <w:sz w:val="24"/>
          <w:szCs w:val="24"/>
          <w:lang w:bidi="en-GB"/>
        </w:rPr>
        <w:t xml:space="preserve">The aims propagated by the degrowth literature imply radical societal transformations. Many (but not all) authors even argue that it would (and should) do away with capitalism itself (Saito, 2022; Kallis, 2019; Andreucci &amp; McDonough, 2015; Demaria et al., 2013). Regardless, the facts established by ecological economics and empirical research into the links between exponential economic growth, the resource throughput of the economy and degradation of the planet arguably demand transformative changes. Such changes may be comparable to those experienced </w:t>
      </w:r>
      <w:r w:rsidRPr="0092458B">
        <w:rPr>
          <w:sz w:val="24"/>
          <w:szCs w:val="24"/>
          <w:lang w:bidi="en-GB"/>
        </w:rPr>
        <w:lastRenderedPageBreak/>
        <w:t>only a few times before in human history, for instance the onset of agriculture and later industrialisation (Pichler, 2023; Hagens, 2020; Haberl et al., 2011).</w:t>
      </w:r>
      <w:r w:rsidRPr="0092458B">
        <w:rPr>
          <w:sz w:val="24"/>
          <w:szCs w:val="24"/>
          <w:lang w:bidi="en-GB"/>
        </w:rPr>
        <w:tab/>
      </w:r>
      <w:r w:rsidRPr="0092458B">
        <w:rPr>
          <w:sz w:val="24"/>
          <w:szCs w:val="24"/>
          <w:lang w:bidi="en-GB"/>
        </w:rPr>
        <w:tab/>
      </w:r>
      <w:r w:rsidRPr="0092458B">
        <w:rPr>
          <w:sz w:val="24"/>
          <w:szCs w:val="24"/>
          <w:lang w:bidi="en-GB"/>
        </w:rPr>
        <w:tab/>
      </w:r>
      <w:r w:rsidR="00EE71FA" w:rsidRPr="0092458B">
        <w:rPr>
          <w:sz w:val="24"/>
          <w:szCs w:val="24"/>
          <w:lang w:bidi="en-GB"/>
        </w:rPr>
        <w:tab/>
      </w:r>
      <w:r w:rsidRPr="0092458B">
        <w:rPr>
          <w:sz w:val="24"/>
          <w:szCs w:val="24"/>
          <w:lang w:bidi="en-GB"/>
        </w:rPr>
        <w:t xml:space="preserve">Both within and across nations, greater equality of needs satisfaction and wellbeing is not only an optional shortcut to sustainability, but arguably a necessary condition (if not by itself sufficient). Furthermore, excess inequality may </w:t>
      </w:r>
      <w:r w:rsidR="00602175" w:rsidRPr="0092458B">
        <w:rPr>
          <w:sz w:val="24"/>
          <w:szCs w:val="24"/>
          <w:lang w:bidi="en-GB"/>
        </w:rPr>
        <w:t xml:space="preserve">lead to </w:t>
      </w:r>
      <w:r w:rsidRPr="0092458B">
        <w:rPr>
          <w:sz w:val="24"/>
          <w:szCs w:val="24"/>
          <w:lang w:bidi="en-GB"/>
        </w:rPr>
        <w:t xml:space="preserve">collective action </w:t>
      </w:r>
      <w:r w:rsidR="00602175" w:rsidRPr="0092458B">
        <w:rPr>
          <w:sz w:val="24"/>
          <w:szCs w:val="24"/>
          <w:lang w:bidi="en-GB"/>
        </w:rPr>
        <w:t>becoming nigh</w:t>
      </w:r>
      <w:r w:rsidRPr="0092458B">
        <w:rPr>
          <w:sz w:val="24"/>
          <w:szCs w:val="24"/>
          <w:lang w:bidi="en-GB"/>
        </w:rPr>
        <w:t xml:space="preserve"> impossible, as high stratification leads to diverging interests, just as elites and wealthier countries can shelter themselves from crises in the short term (Brozovic, 2023; </w:t>
      </w:r>
      <w:proofErr w:type="spellStart"/>
      <w:r w:rsidRPr="0092458B">
        <w:rPr>
          <w:sz w:val="24"/>
          <w:szCs w:val="24"/>
          <w:lang w:bidi="en-GB"/>
        </w:rPr>
        <w:t>Motesharrei</w:t>
      </w:r>
      <w:proofErr w:type="spellEnd"/>
      <w:r w:rsidRPr="0092458B">
        <w:rPr>
          <w:sz w:val="24"/>
          <w:szCs w:val="24"/>
          <w:lang w:bidi="en-GB"/>
        </w:rPr>
        <w:t xml:space="preserve">, Rivas &amp; </w:t>
      </w:r>
      <w:proofErr w:type="spellStart"/>
      <w:r w:rsidRPr="0092458B">
        <w:rPr>
          <w:sz w:val="24"/>
          <w:szCs w:val="24"/>
          <w:lang w:bidi="en-GB"/>
        </w:rPr>
        <w:t>Kalney</w:t>
      </w:r>
      <w:proofErr w:type="spellEnd"/>
      <w:r w:rsidRPr="0092458B">
        <w:rPr>
          <w:sz w:val="24"/>
          <w:szCs w:val="24"/>
          <w:lang w:bidi="en-GB"/>
        </w:rPr>
        <w:t>, 2014).</w:t>
      </w:r>
      <w:r w:rsidRPr="0092458B">
        <w:rPr>
          <w:sz w:val="24"/>
          <w:szCs w:val="24"/>
          <w:lang w:bidi="en-GB"/>
        </w:rPr>
        <w:tab/>
      </w:r>
      <w:r w:rsidRPr="0092458B">
        <w:rPr>
          <w:sz w:val="24"/>
          <w:szCs w:val="24"/>
          <w:lang w:bidi="en-GB"/>
        </w:rPr>
        <w:tab/>
        <w:t>The academic literature on degrowth argues that combinations of major policy reforms and civil society alternatives are mutually complementary, or that both ‘symbiotic’ and ‘interstitial’ transformations are needed (</w:t>
      </w:r>
      <w:proofErr w:type="spellStart"/>
      <w:r w:rsidRPr="0092458B">
        <w:rPr>
          <w:sz w:val="24"/>
          <w:szCs w:val="24"/>
          <w:lang w:bidi="en-GB"/>
        </w:rPr>
        <w:t>Chertkovskaya</w:t>
      </w:r>
      <w:proofErr w:type="spellEnd"/>
      <w:r w:rsidRPr="0092458B">
        <w:rPr>
          <w:sz w:val="24"/>
          <w:szCs w:val="24"/>
          <w:lang w:bidi="en-GB"/>
        </w:rPr>
        <w:t xml:space="preserve">, 2022; Koch, 2022a, 2022b; </w:t>
      </w:r>
      <w:proofErr w:type="spellStart"/>
      <w:r w:rsidRPr="0092458B">
        <w:rPr>
          <w:sz w:val="24"/>
          <w:szCs w:val="24"/>
          <w:lang w:bidi="en-GB"/>
        </w:rPr>
        <w:t>D’Alisa</w:t>
      </w:r>
      <w:proofErr w:type="spellEnd"/>
      <w:r w:rsidRPr="0092458B">
        <w:rPr>
          <w:sz w:val="24"/>
          <w:szCs w:val="24"/>
          <w:lang w:bidi="en-GB"/>
        </w:rPr>
        <w:t xml:space="preserve"> &amp; Kallis, 2020). Yet these different strands of degrowth also harbour some inherent tensions and challenges. This paper has derived three of these: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Firstly, these ideas and proposals amount to encompassing social policies, and even if such reforms are necessary to bridge social and environmental sustainability, the growth dependencies of the current welfare state must be further addressed. Bailey (2015) outlined this as a ‘welfare paradox’ in which extensive social policymaking is needed beyond growth, yet the fiscal viability of the established welfare state would also be challenged. Labour-intensive care services might be particularly challenged here. </w:t>
      </w:r>
      <w:r w:rsidRPr="0092458B">
        <w:rPr>
          <w:sz w:val="24"/>
          <w:szCs w:val="24"/>
          <w:lang w:bidi="en-GB"/>
        </w:rPr>
        <w:tab/>
      </w:r>
      <w:r w:rsidRPr="0092458B">
        <w:rPr>
          <w:sz w:val="24"/>
          <w:szCs w:val="24"/>
          <w:lang w:bidi="en-GB"/>
        </w:rPr>
        <w:tab/>
      </w:r>
      <w:r w:rsidRPr="0092458B">
        <w:rPr>
          <w:sz w:val="24"/>
          <w:szCs w:val="24"/>
          <w:lang w:bidi="en-GB"/>
        </w:rPr>
        <w:tab/>
      </w:r>
      <w:r w:rsidR="00EE71FA" w:rsidRPr="0092458B">
        <w:rPr>
          <w:sz w:val="24"/>
          <w:szCs w:val="24"/>
          <w:lang w:bidi="en-GB"/>
        </w:rPr>
        <w:tab/>
      </w:r>
      <w:r w:rsidRPr="0092458B">
        <w:rPr>
          <w:sz w:val="24"/>
          <w:szCs w:val="24"/>
          <w:lang w:bidi="en-GB"/>
        </w:rPr>
        <w:t xml:space="preserve">Secondly, when combined with changes ‘from below’ based on </w:t>
      </w:r>
      <w:proofErr w:type="spellStart"/>
      <w:r w:rsidRPr="0092458B">
        <w:rPr>
          <w:sz w:val="24"/>
          <w:szCs w:val="24"/>
          <w:lang w:bidi="en-GB"/>
        </w:rPr>
        <w:t>commoning</w:t>
      </w:r>
      <w:proofErr w:type="spellEnd"/>
      <w:r w:rsidRPr="0092458B">
        <w:rPr>
          <w:sz w:val="24"/>
          <w:szCs w:val="24"/>
          <w:lang w:bidi="en-GB"/>
        </w:rPr>
        <w:t xml:space="preserve"> and </w:t>
      </w:r>
      <w:proofErr w:type="spellStart"/>
      <w:r w:rsidRPr="0092458B">
        <w:rPr>
          <w:sz w:val="24"/>
          <w:szCs w:val="24"/>
          <w:lang w:bidi="en-GB"/>
        </w:rPr>
        <w:t>convivialism</w:t>
      </w:r>
      <w:proofErr w:type="spellEnd"/>
      <w:r w:rsidRPr="0092458B">
        <w:rPr>
          <w:sz w:val="24"/>
          <w:szCs w:val="24"/>
          <w:lang w:bidi="en-GB"/>
        </w:rPr>
        <w:t xml:space="preserve">, it is not always clear what room there could or should be for extensive state-led decommodification and welfare provision when we simultaneously envisage a bigger role for the alternative and informal economy.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Thirdly, while there is potential for broad, public support, degrowth as a movement still has some way to go before the public could be convinced of the more radical policies that would substantially transform the growth-based political economy. Consistent support across major policy proposals is limited to the green or new left.</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The first two challenges have been derived by questioning where there are potential limits for formal welfare or service provision in a political economy of degrowth, firstly with respect to such policies in and of themselves, and secondly with respect to their balance (potential complementarities or trade-offs) vis-à-vis alternatives based on </w:t>
      </w:r>
      <w:r w:rsidR="004A34D8" w:rsidRPr="0092458B">
        <w:rPr>
          <w:sz w:val="24"/>
          <w:szCs w:val="24"/>
          <w:lang w:bidi="en-GB"/>
        </w:rPr>
        <w:t xml:space="preserve">informal </w:t>
      </w:r>
      <w:proofErr w:type="spellStart"/>
      <w:r w:rsidRPr="0092458B">
        <w:rPr>
          <w:sz w:val="24"/>
          <w:szCs w:val="24"/>
          <w:lang w:bidi="en-GB"/>
        </w:rPr>
        <w:t>commoning</w:t>
      </w:r>
      <w:proofErr w:type="spellEnd"/>
      <w:r w:rsidRPr="0092458B">
        <w:rPr>
          <w:sz w:val="24"/>
          <w:szCs w:val="24"/>
          <w:lang w:bidi="en-GB"/>
        </w:rPr>
        <w:t xml:space="preserve"> and </w:t>
      </w:r>
      <w:proofErr w:type="spellStart"/>
      <w:r w:rsidRPr="0092458B">
        <w:rPr>
          <w:sz w:val="24"/>
          <w:szCs w:val="24"/>
          <w:lang w:bidi="en-GB"/>
        </w:rPr>
        <w:lastRenderedPageBreak/>
        <w:t>convivialism</w:t>
      </w:r>
      <w:proofErr w:type="spellEnd"/>
      <w:r w:rsidRPr="0092458B">
        <w:rPr>
          <w:sz w:val="24"/>
          <w:szCs w:val="24"/>
          <w:lang w:bidi="en-GB"/>
        </w:rPr>
        <w:t xml:space="preserve">.  If degrowth entails both less and more of the existing alternatives and institutions (Buch-Hansen &amp; Nesterova, 2023), I have questioned whether we need more research on what should be considered ‘less’ in terms of formal social policies. For instance, what aspects of social reproduction should be formally </w:t>
      </w:r>
      <w:proofErr w:type="spellStart"/>
      <w:r w:rsidRPr="0092458B">
        <w:rPr>
          <w:sz w:val="24"/>
          <w:szCs w:val="24"/>
          <w:lang w:bidi="en-GB"/>
        </w:rPr>
        <w:t>decommodified</w:t>
      </w:r>
      <w:proofErr w:type="spellEnd"/>
      <w:r w:rsidRPr="0092458B">
        <w:rPr>
          <w:sz w:val="24"/>
          <w:szCs w:val="24"/>
          <w:lang w:bidi="en-GB"/>
        </w:rPr>
        <w:t xml:space="preserve"> and what should be left for </w:t>
      </w:r>
      <w:proofErr w:type="spellStart"/>
      <w:r w:rsidRPr="0092458B">
        <w:rPr>
          <w:sz w:val="24"/>
          <w:szCs w:val="24"/>
          <w:lang w:bidi="en-GB"/>
        </w:rPr>
        <w:t>commoning</w:t>
      </w:r>
      <w:proofErr w:type="spellEnd"/>
      <w:r w:rsidRPr="0092458B">
        <w:rPr>
          <w:sz w:val="24"/>
          <w:szCs w:val="24"/>
          <w:lang w:bidi="en-GB"/>
        </w:rPr>
        <w:t xml:space="preserve"> in local, </w:t>
      </w:r>
      <w:proofErr w:type="gramStart"/>
      <w:r w:rsidRPr="0092458B">
        <w:rPr>
          <w:sz w:val="24"/>
          <w:szCs w:val="24"/>
          <w:lang w:bidi="en-GB"/>
        </w:rPr>
        <w:t>alternative</w:t>
      </w:r>
      <w:proofErr w:type="gramEnd"/>
      <w:r w:rsidRPr="0092458B">
        <w:rPr>
          <w:sz w:val="24"/>
          <w:szCs w:val="24"/>
          <w:lang w:bidi="en-GB"/>
        </w:rPr>
        <w:t xml:space="preserve"> or informal economies?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In terms of fiscal viability, degrowth advocates and ecological economists rightly point to the role of the financial sector and monetary policy in terms of enforcing the growth imperative, and how reforms here, alongside radical redistribution, are necessary complements to the decommodification of goods and services (Jackson, Jackson &amp; van </w:t>
      </w:r>
      <w:proofErr w:type="spellStart"/>
      <w:r w:rsidRPr="0092458B">
        <w:rPr>
          <w:sz w:val="24"/>
          <w:szCs w:val="24"/>
          <w:lang w:bidi="en-GB"/>
        </w:rPr>
        <w:t>Lerven</w:t>
      </w:r>
      <w:proofErr w:type="spellEnd"/>
      <w:r w:rsidRPr="0092458B">
        <w:rPr>
          <w:sz w:val="24"/>
          <w:szCs w:val="24"/>
          <w:lang w:bidi="en-GB"/>
        </w:rPr>
        <w:t xml:space="preserve">, 2022; Fitzpatrick, </w:t>
      </w:r>
      <w:proofErr w:type="spellStart"/>
      <w:r w:rsidRPr="0092458B">
        <w:rPr>
          <w:sz w:val="24"/>
          <w:szCs w:val="24"/>
          <w:lang w:bidi="en-GB"/>
        </w:rPr>
        <w:t>Parrique</w:t>
      </w:r>
      <w:proofErr w:type="spellEnd"/>
      <w:r w:rsidRPr="0092458B">
        <w:rPr>
          <w:sz w:val="24"/>
          <w:szCs w:val="24"/>
          <w:lang w:bidi="en-GB"/>
        </w:rPr>
        <w:t xml:space="preserve"> &amp; Cosme, 2022; </w:t>
      </w:r>
      <w:proofErr w:type="spellStart"/>
      <w:r w:rsidRPr="0092458B">
        <w:rPr>
          <w:sz w:val="24"/>
          <w:szCs w:val="24"/>
          <w:lang w:bidi="en-GB"/>
        </w:rPr>
        <w:t>Parrique</w:t>
      </w:r>
      <w:proofErr w:type="spellEnd"/>
      <w:r w:rsidRPr="0092458B">
        <w:rPr>
          <w:sz w:val="24"/>
          <w:szCs w:val="24"/>
          <w:lang w:bidi="en-GB"/>
        </w:rPr>
        <w:t>, 2019)</w:t>
      </w:r>
      <w:r w:rsidR="003238E7" w:rsidRPr="0092458B">
        <w:rPr>
          <w:iCs/>
          <w:sz w:val="24"/>
          <w:szCs w:val="24"/>
          <w:lang w:val="en-US"/>
        </w:rPr>
        <w:t xml:space="preserve">. </w:t>
      </w:r>
      <w:r w:rsidR="00537AD8" w:rsidRPr="0092458B">
        <w:rPr>
          <w:iCs/>
          <w:sz w:val="24"/>
          <w:szCs w:val="24"/>
          <w:lang w:val="en-US"/>
        </w:rPr>
        <w:t xml:space="preserve">Olk et. al. (2023) </w:t>
      </w:r>
      <w:proofErr w:type="gramStart"/>
      <w:r w:rsidR="00537AD8" w:rsidRPr="0092458B">
        <w:rPr>
          <w:iCs/>
          <w:sz w:val="24"/>
          <w:szCs w:val="24"/>
          <w:lang w:val="en-US"/>
        </w:rPr>
        <w:t>discuss</w:t>
      </w:r>
      <w:proofErr w:type="gramEnd"/>
      <w:r w:rsidR="00537AD8" w:rsidRPr="0092458B">
        <w:rPr>
          <w:iCs/>
          <w:sz w:val="24"/>
          <w:szCs w:val="24"/>
          <w:lang w:val="en-US"/>
        </w:rPr>
        <w:t xml:space="preserve"> how</w:t>
      </w:r>
      <w:r w:rsidR="00B525C1" w:rsidRPr="0092458B">
        <w:rPr>
          <w:iCs/>
          <w:sz w:val="24"/>
          <w:szCs w:val="24"/>
          <w:lang w:val="en-US"/>
        </w:rPr>
        <w:t xml:space="preserve"> the </w:t>
      </w:r>
      <w:r w:rsidR="00A316A1" w:rsidRPr="0092458B">
        <w:rPr>
          <w:iCs/>
          <w:sz w:val="24"/>
          <w:szCs w:val="24"/>
          <w:lang w:val="en-US"/>
        </w:rPr>
        <w:t xml:space="preserve">ideas in </w:t>
      </w:r>
      <w:r w:rsidR="00537AD8" w:rsidRPr="0092458B">
        <w:rPr>
          <w:iCs/>
          <w:sz w:val="24"/>
          <w:szCs w:val="24"/>
          <w:lang w:val="en-US"/>
        </w:rPr>
        <w:t xml:space="preserve">‘modern monetary theory’ </w:t>
      </w:r>
      <w:r w:rsidR="00672545" w:rsidRPr="0092458B">
        <w:rPr>
          <w:iCs/>
          <w:sz w:val="24"/>
          <w:szCs w:val="24"/>
          <w:lang w:val="en-US"/>
        </w:rPr>
        <w:t>may inform the</w:t>
      </w:r>
      <w:r w:rsidR="00537AD8" w:rsidRPr="0092458B">
        <w:rPr>
          <w:iCs/>
          <w:sz w:val="24"/>
          <w:szCs w:val="24"/>
          <w:lang w:val="en-US"/>
        </w:rPr>
        <w:t xml:space="preserve"> </w:t>
      </w:r>
      <w:r w:rsidR="0072206A" w:rsidRPr="0092458B">
        <w:rPr>
          <w:iCs/>
          <w:sz w:val="24"/>
          <w:szCs w:val="24"/>
          <w:lang w:val="en-US"/>
        </w:rPr>
        <w:t>regulation of private finance</w:t>
      </w:r>
      <w:r w:rsidR="00AB70BB" w:rsidRPr="0092458B">
        <w:rPr>
          <w:iCs/>
          <w:sz w:val="24"/>
          <w:szCs w:val="24"/>
          <w:lang w:val="en-US"/>
        </w:rPr>
        <w:t xml:space="preserve">, private </w:t>
      </w:r>
      <w:r w:rsidR="0072206A" w:rsidRPr="0092458B">
        <w:rPr>
          <w:iCs/>
          <w:sz w:val="24"/>
          <w:szCs w:val="24"/>
          <w:lang w:val="en-US"/>
        </w:rPr>
        <w:t>money creation</w:t>
      </w:r>
      <w:r w:rsidR="001254F6" w:rsidRPr="0092458B">
        <w:rPr>
          <w:iCs/>
          <w:sz w:val="24"/>
          <w:szCs w:val="24"/>
          <w:lang w:val="en-US"/>
        </w:rPr>
        <w:t xml:space="preserve">, </w:t>
      </w:r>
      <w:r w:rsidR="003238E7" w:rsidRPr="0092458B">
        <w:rPr>
          <w:iCs/>
          <w:sz w:val="24"/>
          <w:szCs w:val="24"/>
          <w:lang w:val="en-US"/>
        </w:rPr>
        <w:t xml:space="preserve">employment and </w:t>
      </w:r>
      <w:r w:rsidR="0072206A" w:rsidRPr="0092458B">
        <w:rPr>
          <w:iCs/>
          <w:sz w:val="24"/>
          <w:szCs w:val="24"/>
          <w:lang w:val="en-US"/>
        </w:rPr>
        <w:t>tax reforms</w:t>
      </w:r>
      <w:r w:rsidR="00AB70BB" w:rsidRPr="0092458B">
        <w:rPr>
          <w:iCs/>
          <w:sz w:val="24"/>
          <w:szCs w:val="24"/>
          <w:lang w:val="en-US"/>
        </w:rPr>
        <w:t xml:space="preserve"> in order</w:t>
      </w:r>
      <w:r w:rsidR="00572DDD" w:rsidRPr="0092458B">
        <w:rPr>
          <w:iCs/>
          <w:sz w:val="24"/>
          <w:szCs w:val="24"/>
          <w:lang w:val="en-US"/>
        </w:rPr>
        <w:t xml:space="preserve"> to both secure public provisioning </w:t>
      </w:r>
      <w:r w:rsidR="00AB70BB" w:rsidRPr="0092458B">
        <w:rPr>
          <w:iCs/>
          <w:sz w:val="24"/>
          <w:szCs w:val="24"/>
          <w:lang w:val="en-US"/>
        </w:rPr>
        <w:t>and eliminate growth dependencies.</w:t>
      </w:r>
      <w:r w:rsidRPr="0092458B">
        <w:rPr>
          <w:sz w:val="24"/>
          <w:szCs w:val="24"/>
          <w:lang w:bidi="en-GB"/>
        </w:rPr>
        <w:tab/>
      </w:r>
      <w:r w:rsidRPr="0092458B">
        <w:rPr>
          <w:sz w:val="24"/>
          <w:szCs w:val="24"/>
          <w:lang w:bidi="en-GB"/>
        </w:rPr>
        <w:tab/>
      </w:r>
      <w:r w:rsidR="003238E7" w:rsidRPr="0092458B">
        <w:rPr>
          <w:sz w:val="24"/>
          <w:szCs w:val="24"/>
          <w:lang w:bidi="en-GB"/>
        </w:rPr>
        <w:tab/>
      </w:r>
      <w:r w:rsidR="003238E7" w:rsidRPr="0092458B">
        <w:rPr>
          <w:sz w:val="24"/>
          <w:szCs w:val="24"/>
          <w:lang w:bidi="en-GB"/>
        </w:rPr>
        <w:tab/>
      </w:r>
      <w:r w:rsidR="003238E7" w:rsidRPr="0092458B">
        <w:rPr>
          <w:sz w:val="24"/>
          <w:szCs w:val="24"/>
          <w:lang w:bidi="en-GB"/>
        </w:rPr>
        <w:tab/>
      </w:r>
      <w:r w:rsidR="003238E7" w:rsidRPr="0092458B">
        <w:rPr>
          <w:sz w:val="24"/>
          <w:szCs w:val="24"/>
          <w:lang w:bidi="en-GB"/>
        </w:rPr>
        <w:tab/>
      </w:r>
      <w:r w:rsidR="00BA6D70" w:rsidRPr="0092458B">
        <w:rPr>
          <w:sz w:val="24"/>
          <w:szCs w:val="24"/>
          <w:lang w:bidi="en-GB"/>
        </w:rPr>
        <w:tab/>
      </w:r>
      <w:r w:rsidR="001C2B45" w:rsidRPr="0092458B">
        <w:rPr>
          <w:sz w:val="24"/>
          <w:szCs w:val="24"/>
          <w:lang w:bidi="en-GB"/>
        </w:rPr>
        <w:t>Still</w:t>
      </w:r>
      <w:r w:rsidR="00BA6D70" w:rsidRPr="0092458B">
        <w:rPr>
          <w:sz w:val="24"/>
          <w:szCs w:val="24"/>
          <w:lang w:bidi="en-GB"/>
        </w:rPr>
        <w:t xml:space="preserve">, </w:t>
      </w:r>
      <w:r w:rsidRPr="0092458B">
        <w:rPr>
          <w:sz w:val="24"/>
          <w:szCs w:val="24"/>
          <w:lang w:bidi="en-GB"/>
        </w:rPr>
        <w:t xml:space="preserve">efforts to clearly define a ‘sufficiency-oriented’ or ‘foundational’ economy (see for instance </w:t>
      </w:r>
      <w:proofErr w:type="spellStart"/>
      <w:r w:rsidRPr="0092458B">
        <w:rPr>
          <w:sz w:val="24"/>
          <w:szCs w:val="24"/>
          <w:lang w:bidi="en-GB"/>
        </w:rPr>
        <w:t>Bärnthaler</w:t>
      </w:r>
      <w:proofErr w:type="spellEnd"/>
      <w:r w:rsidRPr="0092458B">
        <w:rPr>
          <w:sz w:val="24"/>
          <w:szCs w:val="24"/>
          <w:lang w:bidi="en-GB"/>
        </w:rPr>
        <w:t xml:space="preserve"> &amp; Gough, 2023; Wahlund &amp; Hansen, 2022) require more explicit and critical work on the extent to which some aspects of welfare provision (services and aspects of social reproduction) could or should be provided by public social policies in an economy based on sufficiency, foundational needs and </w:t>
      </w:r>
      <w:proofErr w:type="spellStart"/>
      <w:r w:rsidRPr="0092458B">
        <w:rPr>
          <w:sz w:val="24"/>
          <w:szCs w:val="24"/>
          <w:lang w:bidi="en-GB"/>
        </w:rPr>
        <w:t>commoning</w:t>
      </w:r>
      <w:proofErr w:type="spellEnd"/>
      <w:r w:rsidRPr="0092458B">
        <w:rPr>
          <w:sz w:val="24"/>
          <w:szCs w:val="24"/>
          <w:lang w:bidi="en-GB"/>
        </w:rPr>
        <w:t xml:space="preserve">. </w:t>
      </w:r>
      <w:r w:rsidR="000B4E24" w:rsidRPr="0092458B">
        <w:rPr>
          <w:iCs/>
          <w:sz w:val="24"/>
          <w:szCs w:val="24"/>
          <w:lang w:val="en-US"/>
        </w:rPr>
        <w:t xml:space="preserve">The aim should be to </w:t>
      </w:r>
      <w:proofErr w:type="spellStart"/>
      <w:r w:rsidR="005A2B80" w:rsidRPr="0092458B">
        <w:rPr>
          <w:iCs/>
          <w:sz w:val="24"/>
          <w:szCs w:val="24"/>
          <w:lang w:val="en-US"/>
        </w:rPr>
        <w:t>naunce</w:t>
      </w:r>
      <w:proofErr w:type="spellEnd"/>
      <w:r w:rsidR="000B4E24" w:rsidRPr="0092458B">
        <w:rPr>
          <w:iCs/>
          <w:sz w:val="24"/>
          <w:szCs w:val="24"/>
          <w:lang w:val="en-US"/>
        </w:rPr>
        <w:t xml:space="preserve"> what a future ‘mixed economy of degrowth’ could</w:t>
      </w:r>
      <w:r w:rsidR="005A2B80" w:rsidRPr="0092458B">
        <w:rPr>
          <w:iCs/>
          <w:sz w:val="24"/>
          <w:szCs w:val="24"/>
          <w:lang w:val="en-US"/>
        </w:rPr>
        <w:t xml:space="preserve"> imply, </w:t>
      </w:r>
      <w:r w:rsidR="000B4E24" w:rsidRPr="0092458B">
        <w:rPr>
          <w:iCs/>
          <w:sz w:val="24"/>
          <w:szCs w:val="24"/>
          <w:lang w:val="en-US"/>
        </w:rPr>
        <w:t>emphasizing that public commodification does not necessarily imply goods that are entirely publicly regulated, delivered and financed across all needs (</w:t>
      </w:r>
      <w:r w:rsidR="003849FB" w:rsidRPr="0092458B">
        <w:rPr>
          <w:iCs/>
          <w:sz w:val="24"/>
          <w:szCs w:val="24"/>
          <w:lang w:val="en-US"/>
        </w:rPr>
        <w:t>such nuances are</w:t>
      </w:r>
      <w:r w:rsidR="00AB2A0A" w:rsidRPr="0092458B">
        <w:rPr>
          <w:iCs/>
          <w:sz w:val="24"/>
          <w:szCs w:val="24"/>
          <w:lang w:val="en-US"/>
        </w:rPr>
        <w:t xml:space="preserve"> addressed </w:t>
      </w:r>
      <w:r w:rsidR="00F2035D" w:rsidRPr="0092458B">
        <w:rPr>
          <w:iCs/>
          <w:sz w:val="24"/>
          <w:szCs w:val="24"/>
          <w:lang w:val="en-US"/>
        </w:rPr>
        <w:t xml:space="preserve">with different concepts </w:t>
      </w:r>
      <w:r w:rsidR="000B4E24" w:rsidRPr="0092458B">
        <w:rPr>
          <w:iCs/>
          <w:sz w:val="24"/>
          <w:szCs w:val="24"/>
          <w:lang w:val="en-US"/>
        </w:rPr>
        <w:t>by, for instance</w:t>
      </w:r>
      <w:r w:rsidR="003849FB" w:rsidRPr="0092458B">
        <w:rPr>
          <w:iCs/>
          <w:sz w:val="24"/>
          <w:szCs w:val="24"/>
          <w:lang w:val="en-US"/>
        </w:rPr>
        <w:t xml:space="preserve">, </w:t>
      </w:r>
      <w:r w:rsidR="000B4E24" w:rsidRPr="0092458B">
        <w:rPr>
          <w:iCs/>
          <w:sz w:val="24"/>
          <w:szCs w:val="24"/>
          <w:lang w:val="en-US"/>
        </w:rPr>
        <w:t>Wahlund &amp; Hansen, 2022; Coote, 2022 and Bohnenb</w:t>
      </w:r>
      <w:r w:rsidR="00C47F15">
        <w:rPr>
          <w:iCs/>
          <w:sz w:val="24"/>
          <w:szCs w:val="24"/>
          <w:lang w:val="en-US"/>
        </w:rPr>
        <w:t>e</w:t>
      </w:r>
      <w:r w:rsidR="000B4E24" w:rsidRPr="0092458B">
        <w:rPr>
          <w:iCs/>
          <w:sz w:val="24"/>
          <w:szCs w:val="24"/>
          <w:lang w:val="en-US"/>
        </w:rPr>
        <w:t xml:space="preserve">rger, 2020), just as </w:t>
      </w:r>
      <w:proofErr w:type="spellStart"/>
      <w:r w:rsidR="000B4E24" w:rsidRPr="0092458B">
        <w:rPr>
          <w:iCs/>
          <w:sz w:val="24"/>
          <w:szCs w:val="24"/>
          <w:lang w:val="en-US"/>
        </w:rPr>
        <w:t>commoning</w:t>
      </w:r>
      <w:proofErr w:type="spellEnd"/>
      <w:r w:rsidR="000B4E24" w:rsidRPr="0092458B">
        <w:rPr>
          <w:iCs/>
          <w:sz w:val="24"/>
          <w:szCs w:val="24"/>
          <w:lang w:val="en-US"/>
        </w:rPr>
        <w:t xml:space="preserve"> need not be entirely informal or organized solely in alternative economies.</w:t>
      </w:r>
      <w:r w:rsidRPr="0092458B">
        <w:rPr>
          <w:sz w:val="24"/>
          <w:szCs w:val="24"/>
          <w:lang w:bidi="en-GB"/>
        </w:rPr>
        <w:t xml:space="preserve">  </w:t>
      </w:r>
      <w:r w:rsidRPr="0092458B">
        <w:rPr>
          <w:sz w:val="24"/>
          <w:szCs w:val="24"/>
          <w:lang w:bidi="en-GB"/>
        </w:rPr>
        <w:tab/>
      </w:r>
      <w:r w:rsidRPr="0092458B">
        <w:rPr>
          <w:sz w:val="24"/>
          <w:szCs w:val="24"/>
          <w:lang w:bidi="en-GB"/>
        </w:rPr>
        <w:tab/>
      </w:r>
      <w:r w:rsidRPr="0092458B">
        <w:rPr>
          <w:sz w:val="24"/>
          <w:szCs w:val="24"/>
          <w:lang w:bidi="en-GB"/>
        </w:rPr>
        <w:tab/>
      </w:r>
      <w:r w:rsidR="00471421" w:rsidRPr="0092458B">
        <w:rPr>
          <w:sz w:val="24"/>
          <w:szCs w:val="24"/>
          <w:lang w:bidi="en-GB"/>
        </w:rPr>
        <w:tab/>
      </w:r>
      <w:r w:rsidR="00471421" w:rsidRPr="0092458B">
        <w:rPr>
          <w:sz w:val="24"/>
          <w:szCs w:val="24"/>
          <w:lang w:bidi="en-GB"/>
        </w:rPr>
        <w:tab/>
      </w:r>
      <w:r w:rsidRPr="0092458B">
        <w:rPr>
          <w:sz w:val="24"/>
          <w:szCs w:val="24"/>
          <w:lang w:bidi="en-GB"/>
        </w:rPr>
        <w:t xml:space="preserve">The third and final challenge concerns attitudes, </w:t>
      </w:r>
      <w:proofErr w:type="gramStart"/>
      <w:r w:rsidRPr="0092458B">
        <w:rPr>
          <w:sz w:val="24"/>
          <w:szCs w:val="24"/>
          <w:lang w:bidi="en-GB"/>
        </w:rPr>
        <w:t>perceptions</w:t>
      </w:r>
      <w:proofErr w:type="gramEnd"/>
      <w:r w:rsidRPr="0092458B">
        <w:rPr>
          <w:sz w:val="24"/>
          <w:szCs w:val="24"/>
          <w:lang w:bidi="en-GB"/>
        </w:rPr>
        <w:t xml:space="preserve"> and values among the wider public. Proponents of more radical environmental transformations often point to power structures and the need to break with vested economic interests in fossil fuels, </w:t>
      </w:r>
      <w:proofErr w:type="spellStart"/>
      <w:r w:rsidRPr="0092458B">
        <w:rPr>
          <w:sz w:val="24"/>
          <w:szCs w:val="24"/>
          <w:lang w:bidi="en-GB"/>
        </w:rPr>
        <w:t>extractionism</w:t>
      </w:r>
      <w:proofErr w:type="spellEnd"/>
      <w:r w:rsidRPr="0092458B">
        <w:rPr>
          <w:sz w:val="24"/>
          <w:szCs w:val="24"/>
          <w:lang w:bidi="en-GB"/>
        </w:rPr>
        <w:t xml:space="preserve">, etc., as well as excess levels of inequality, which are certainly the major culprits behind past failures to take sufficient political action (Stoddard et al., 2021). Degrowth might have traction as an issue of environmental justice and class struggle. </w:t>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r>
      <w:r w:rsidRPr="0092458B">
        <w:rPr>
          <w:sz w:val="24"/>
          <w:szCs w:val="24"/>
          <w:lang w:bidi="en-GB"/>
        </w:rPr>
        <w:tab/>
        <w:t xml:space="preserve">Yet, particularly in affluent economies, degrowth would also require new popular </w:t>
      </w:r>
      <w:r w:rsidRPr="0092458B">
        <w:rPr>
          <w:sz w:val="24"/>
          <w:szCs w:val="24"/>
          <w:lang w:bidi="en-GB"/>
        </w:rPr>
        <w:lastRenderedPageBreak/>
        <w:t xml:space="preserve">conceptions or values with respect to wellbeing and the good life that would also change the behaviours that bring social recognition and status. As a movement, degrowth has some way to go in achieving the ‘social tipping points’ that would eventually lead to the new norms, values and identities presupposed by degrowth with respect to less materialist and hedonic and more needs-oriented and </w:t>
      </w:r>
      <w:proofErr w:type="spellStart"/>
      <w:r w:rsidRPr="0092458B">
        <w:rPr>
          <w:sz w:val="24"/>
          <w:szCs w:val="24"/>
          <w:lang w:bidi="en-GB"/>
        </w:rPr>
        <w:t>eudaimonic</w:t>
      </w:r>
      <w:proofErr w:type="spellEnd"/>
      <w:r w:rsidRPr="0092458B">
        <w:rPr>
          <w:sz w:val="24"/>
          <w:szCs w:val="24"/>
          <w:lang w:bidi="en-GB"/>
        </w:rPr>
        <w:t xml:space="preserve"> conceptions of wellbeing and happiness. </w:t>
      </w:r>
      <w:r w:rsidRPr="0092458B">
        <w:rPr>
          <w:sz w:val="24"/>
          <w:szCs w:val="24"/>
          <w:lang w:bidi="en-GB"/>
        </w:rPr>
        <w:tab/>
      </w:r>
      <w:r w:rsidRPr="0092458B">
        <w:rPr>
          <w:sz w:val="24"/>
          <w:szCs w:val="24"/>
          <w:lang w:bidi="en-GB"/>
        </w:rPr>
        <w:tab/>
      </w:r>
      <w:r w:rsidRPr="0092458B">
        <w:rPr>
          <w:sz w:val="24"/>
          <w:szCs w:val="24"/>
          <w:lang w:bidi="en-GB"/>
        </w:rPr>
        <w:tab/>
        <w:t xml:space="preserve">Transformations of this magnitude might need to complement and reinforce each other. While the literature has generally tended to focus separately on formal policies or non-institutionalised alternatives, some research has managed to spell out what this entails in terms of dynamics and strategies of change, as well as the role of different types of actors, sometimes inspired by other theories of social change (see for instance Buch-Hansen &amp; Nesterova, 2023; Pichler, 2023; Durand, </w:t>
      </w:r>
      <w:proofErr w:type="spellStart"/>
      <w:r w:rsidRPr="0092458B">
        <w:rPr>
          <w:sz w:val="24"/>
          <w:szCs w:val="24"/>
          <w:lang w:bidi="en-GB"/>
        </w:rPr>
        <w:t>Hofferberth</w:t>
      </w:r>
      <w:proofErr w:type="spellEnd"/>
      <w:r w:rsidRPr="0092458B">
        <w:rPr>
          <w:sz w:val="24"/>
          <w:szCs w:val="24"/>
          <w:lang w:bidi="en-GB"/>
        </w:rPr>
        <w:t xml:space="preserve"> &amp; Schmelzer, 2023; Schulken et al., 2022; Koch, 2022a, 2022b, </w:t>
      </w:r>
      <w:proofErr w:type="spellStart"/>
      <w:r w:rsidRPr="0092458B">
        <w:rPr>
          <w:sz w:val="24"/>
          <w:szCs w:val="24"/>
          <w:lang w:bidi="en-GB"/>
        </w:rPr>
        <w:t>D’Alisa</w:t>
      </w:r>
      <w:proofErr w:type="spellEnd"/>
      <w:r w:rsidRPr="0092458B">
        <w:rPr>
          <w:sz w:val="24"/>
          <w:szCs w:val="24"/>
          <w:lang w:bidi="en-GB"/>
        </w:rPr>
        <w:t xml:space="preserve"> &amp; Kallis, 2020). This paper emphasises that there is room for more work on the viability and role of formal, public social policies and achieving the public legitimacy that is needed.   </w:t>
      </w:r>
    </w:p>
    <w:p w14:paraId="4CCC02AC" w14:textId="7F4DA98D" w:rsidR="00A14F0C" w:rsidRPr="0092458B" w:rsidRDefault="00A14F0C">
      <w:pPr>
        <w:rPr>
          <w:b/>
          <w:bCs/>
          <w:sz w:val="24"/>
          <w:szCs w:val="24"/>
          <w:lang w:val="en-US"/>
        </w:rPr>
      </w:pPr>
      <w:r w:rsidRPr="0092458B">
        <w:rPr>
          <w:b/>
          <w:bCs/>
          <w:sz w:val="28"/>
          <w:szCs w:val="28"/>
          <w:lang w:val="en-US" w:bidi="en-US"/>
        </w:rPr>
        <w:t>References</w:t>
      </w:r>
    </w:p>
    <w:p w14:paraId="59D318C9" w14:textId="44D8EFC6" w:rsidR="004A156E" w:rsidRPr="0092458B" w:rsidRDefault="004A156E" w:rsidP="00A640DF">
      <w:pPr>
        <w:spacing w:after="0" w:line="240" w:lineRule="auto"/>
        <w:rPr>
          <w:sz w:val="24"/>
          <w:szCs w:val="24"/>
          <w:lang w:val="en-US"/>
        </w:rPr>
      </w:pPr>
      <w:r w:rsidRPr="0092458B">
        <w:rPr>
          <w:sz w:val="24"/>
          <w:szCs w:val="24"/>
          <w:lang w:val="en-US" w:bidi="en-US"/>
        </w:rPr>
        <w:t xml:space="preserve">Albert M (2022) </w:t>
      </w:r>
      <w:proofErr w:type="spellStart"/>
      <w:r w:rsidRPr="0092458B">
        <w:rPr>
          <w:sz w:val="24"/>
          <w:szCs w:val="24"/>
          <w:lang w:val="en-US" w:bidi="en-US"/>
        </w:rPr>
        <w:t>Ecosocialism</w:t>
      </w:r>
      <w:proofErr w:type="spellEnd"/>
      <w:r w:rsidRPr="0092458B">
        <w:rPr>
          <w:sz w:val="24"/>
          <w:szCs w:val="24"/>
          <w:lang w:val="en-US" w:bidi="en-US"/>
        </w:rPr>
        <w:t xml:space="preserve"> for realists: Transitions, trade-offs, and authoritarian dangers. Capitalism Nature Socialism: 1-21</w:t>
      </w:r>
    </w:p>
    <w:p w14:paraId="58D43569" w14:textId="058259EA" w:rsidR="003B2CD6" w:rsidRPr="0092458B" w:rsidRDefault="003B2CD6" w:rsidP="00A640DF">
      <w:pPr>
        <w:spacing w:after="0" w:line="240" w:lineRule="auto"/>
        <w:rPr>
          <w:sz w:val="24"/>
          <w:szCs w:val="24"/>
          <w:lang w:val="en-US"/>
        </w:rPr>
      </w:pPr>
    </w:p>
    <w:p w14:paraId="13FA176B" w14:textId="7C54BC92" w:rsidR="00577153" w:rsidRPr="0092458B" w:rsidRDefault="008C1311" w:rsidP="00A640DF">
      <w:pPr>
        <w:spacing w:after="0" w:line="240" w:lineRule="auto"/>
        <w:rPr>
          <w:sz w:val="24"/>
          <w:szCs w:val="24"/>
          <w:lang w:val="en-US"/>
        </w:rPr>
      </w:pPr>
      <w:r w:rsidRPr="0092458B">
        <w:rPr>
          <w:sz w:val="24"/>
          <w:szCs w:val="24"/>
          <w:lang w:val="en-US" w:bidi="en-US"/>
        </w:rPr>
        <w:t>Alexander S (2012a) Planned economic contraction: The emerging case for degrowth. Environmental Politics 21 (3): 349-368</w:t>
      </w:r>
    </w:p>
    <w:p w14:paraId="665EFD30" w14:textId="77777777" w:rsidR="00A640DF" w:rsidRPr="0092458B" w:rsidRDefault="00A640DF" w:rsidP="00A640DF">
      <w:pPr>
        <w:spacing w:after="0" w:line="240" w:lineRule="auto"/>
        <w:rPr>
          <w:sz w:val="24"/>
          <w:szCs w:val="24"/>
          <w:lang w:val="en-US"/>
        </w:rPr>
      </w:pPr>
    </w:p>
    <w:p w14:paraId="7D1BFDEB" w14:textId="0160E4E6" w:rsidR="004A3BEC" w:rsidRPr="0092458B" w:rsidRDefault="004A3BEC" w:rsidP="00A640DF">
      <w:pPr>
        <w:spacing w:after="0" w:line="240" w:lineRule="auto"/>
        <w:rPr>
          <w:sz w:val="24"/>
          <w:szCs w:val="24"/>
          <w:lang w:val="en-US"/>
        </w:rPr>
      </w:pPr>
      <w:r w:rsidRPr="0092458B">
        <w:rPr>
          <w:sz w:val="24"/>
          <w:szCs w:val="24"/>
          <w:lang w:val="en-US" w:bidi="en-US"/>
        </w:rPr>
        <w:t xml:space="preserve">Alexander, S (2012b) Ted Trainer and the simple way. Simplicity Institute Report 12d. </w:t>
      </w:r>
    </w:p>
    <w:p w14:paraId="1CCD4CFD" w14:textId="77777777" w:rsidR="00A640DF" w:rsidRPr="0092458B" w:rsidRDefault="00A640DF" w:rsidP="00A640DF">
      <w:pPr>
        <w:spacing w:after="0" w:line="240" w:lineRule="auto"/>
        <w:rPr>
          <w:sz w:val="24"/>
          <w:szCs w:val="24"/>
          <w:lang w:val="en-US"/>
        </w:rPr>
      </w:pPr>
    </w:p>
    <w:p w14:paraId="4B3B52C9" w14:textId="5B3BB64B" w:rsidR="003E5D85" w:rsidRPr="0092458B" w:rsidRDefault="003E5D85" w:rsidP="00A640DF">
      <w:pPr>
        <w:spacing w:after="0" w:line="240" w:lineRule="auto"/>
        <w:rPr>
          <w:sz w:val="24"/>
          <w:szCs w:val="24"/>
          <w:lang w:val="en-US"/>
        </w:rPr>
      </w:pPr>
      <w:r w:rsidRPr="0092458B">
        <w:rPr>
          <w:sz w:val="24"/>
          <w:szCs w:val="24"/>
          <w:lang w:val="en-US" w:bidi="en-US"/>
        </w:rPr>
        <w:t xml:space="preserve">Andreucci D, McDonough T (2015) Capitalism. In: </w:t>
      </w:r>
      <w:proofErr w:type="spellStart"/>
      <w:r w:rsidRPr="0092458B">
        <w:rPr>
          <w:rFonts w:cstheme="minorHAnsi"/>
          <w:sz w:val="24"/>
          <w:szCs w:val="24"/>
          <w:lang w:val="en-US" w:bidi="en-US"/>
        </w:rPr>
        <w:t>D’Alisa</w:t>
      </w:r>
      <w:proofErr w:type="spellEnd"/>
      <w:r w:rsidRPr="0092458B">
        <w:rPr>
          <w:rFonts w:cstheme="minorHAnsi"/>
          <w:sz w:val="24"/>
          <w:szCs w:val="24"/>
          <w:lang w:val="en-US" w:bidi="en-US"/>
        </w:rPr>
        <w:t xml:space="preserve"> G, Demaria F, Kallis G (eds.) Degrowth: A vocabulary for a new era. Routledge, Abingdon, p 84-87</w:t>
      </w:r>
    </w:p>
    <w:p w14:paraId="6A360DC2" w14:textId="77777777" w:rsidR="00A640DF" w:rsidRPr="0092458B" w:rsidRDefault="00A640DF" w:rsidP="00A640DF">
      <w:pPr>
        <w:spacing w:after="0" w:line="240" w:lineRule="auto"/>
        <w:rPr>
          <w:sz w:val="24"/>
          <w:szCs w:val="24"/>
          <w:lang w:val="en-US"/>
        </w:rPr>
      </w:pPr>
    </w:p>
    <w:p w14:paraId="2EC97E08" w14:textId="642B3FA8" w:rsidR="006A72CF" w:rsidRPr="0092458B" w:rsidRDefault="006A72CF" w:rsidP="00A640DF">
      <w:pPr>
        <w:spacing w:after="0" w:line="240" w:lineRule="auto"/>
        <w:rPr>
          <w:sz w:val="24"/>
          <w:szCs w:val="24"/>
          <w:lang w:val="en-US"/>
        </w:rPr>
      </w:pPr>
      <w:r w:rsidRPr="0092458B">
        <w:rPr>
          <w:sz w:val="24"/>
          <w:szCs w:val="24"/>
          <w:lang w:val="en-US" w:bidi="en-US"/>
        </w:rPr>
        <w:t>Andrighetto G, Vriens, E (2022) A research agenda for the study of social norm change. Philosophical Transactions of the Royal Society A. 380: 1-13</w:t>
      </w:r>
    </w:p>
    <w:p w14:paraId="43277D30" w14:textId="77777777" w:rsidR="00A640DF" w:rsidRPr="0092458B" w:rsidRDefault="00A640DF" w:rsidP="00A640DF">
      <w:pPr>
        <w:spacing w:after="0" w:line="240" w:lineRule="auto"/>
        <w:rPr>
          <w:sz w:val="24"/>
          <w:szCs w:val="24"/>
          <w:lang w:val="en-US"/>
        </w:rPr>
      </w:pPr>
    </w:p>
    <w:p w14:paraId="0062A78C" w14:textId="64AFB108" w:rsidR="009808B2" w:rsidRPr="0092458B" w:rsidRDefault="009808B2" w:rsidP="00A640DF">
      <w:pPr>
        <w:spacing w:after="0" w:line="240" w:lineRule="auto"/>
        <w:rPr>
          <w:sz w:val="24"/>
          <w:szCs w:val="24"/>
          <w:lang w:val="en-US"/>
        </w:rPr>
      </w:pPr>
      <w:r w:rsidRPr="0092458B">
        <w:rPr>
          <w:sz w:val="24"/>
          <w:szCs w:val="24"/>
          <w:lang w:val="en-US" w:bidi="en-US"/>
        </w:rPr>
        <w:t>Antal M (2014) Green goals and full employment: Are they compatible? Ecological Economics 107: 276-286</w:t>
      </w:r>
    </w:p>
    <w:p w14:paraId="4713B95A" w14:textId="77777777" w:rsidR="00A640DF" w:rsidRPr="0092458B" w:rsidRDefault="00A640DF" w:rsidP="00A640DF">
      <w:pPr>
        <w:spacing w:after="0" w:line="240" w:lineRule="auto"/>
        <w:rPr>
          <w:sz w:val="24"/>
          <w:szCs w:val="24"/>
          <w:lang w:val="en-US"/>
        </w:rPr>
      </w:pPr>
    </w:p>
    <w:p w14:paraId="63C252F7" w14:textId="566DA304" w:rsidR="009808B2" w:rsidRPr="0092458B" w:rsidRDefault="009808B2" w:rsidP="00A640DF">
      <w:pPr>
        <w:spacing w:after="0" w:line="240" w:lineRule="auto"/>
        <w:rPr>
          <w:sz w:val="24"/>
          <w:szCs w:val="24"/>
          <w:lang w:val="en-US"/>
        </w:rPr>
      </w:pPr>
      <w:r w:rsidRPr="0092458B">
        <w:rPr>
          <w:sz w:val="24"/>
          <w:szCs w:val="24"/>
          <w:lang w:val="en-US" w:bidi="en-US"/>
        </w:rPr>
        <w:t xml:space="preserve">Antal M, Plank B, Mokos J, </w:t>
      </w:r>
      <w:proofErr w:type="spellStart"/>
      <w:r w:rsidRPr="0092458B">
        <w:rPr>
          <w:sz w:val="24"/>
          <w:szCs w:val="24"/>
          <w:lang w:val="en-US" w:bidi="en-US"/>
        </w:rPr>
        <w:t>Wiedenhofer</w:t>
      </w:r>
      <w:proofErr w:type="spellEnd"/>
      <w:r w:rsidRPr="0092458B">
        <w:rPr>
          <w:sz w:val="24"/>
          <w:szCs w:val="24"/>
          <w:lang w:val="en-US" w:bidi="en-US"/>
        </w:rPr>
        <w:t xml:space="preserve"> D (2020) Is working less really food for the environment? A systematic review of the empirical evidence for resource use, greenhouse gas emissions and the ecological footprint. Environmental Research Letters 16 (1): 1-19  </w:t>
      </w:r>
    </w:p>
    <w:p w14:paraId="7E43E10F" w14:textId="77777777" w:rsidR="00A640DF" w:rsidRPr="0092458B" w:rsidRDefault="00A640DF" w:rsidP="00A640DF">
      <w:pPr>
        <w:spacing w:after="0" w:line="240" w:lineRule="auto"/>
        <w:rPr>
          <w:sz w:val="24"/>
          <w:szCs w:val="24"/>
          <w:lang w:val="en-US"/>
        </w:rPr>
      </w:pPr>
    </w:p>
    <w:p w14:paraId="52768B0C" w14:textId="195C1FFD" w:rsidR="00E31C67" w:rsidRPr="0092458B" w:rsidRDefault="00E31C67" w:rsidP="00A640DF">
      <w:pPr>
        <w:spacing w:after="0" w:line="240" w:lineRule="auto"/>
        <w:rPr>
          <w:sz w:val="24"/>
          <w:szCs w:val="24"/>
          <w:lang w:val="en-US"/>
        </w:rPr>
      </w:pPr>
      <w:r w:rsidRPr="0092458B">
        <w:rPr>
          <w:sz w:val="24"/>
          <w:szCs w:val="24"/>
          <w:lang w:val="en-US" w:bidi="en-US"/>
        </w:rPr>
        <w:t>Bailey D (2015) The environmental paradox of the welfare state: The dynamics of sustainability. New Political Economy 20 (6): 793-811</w:t>
      </w:r>
    </w:p>
    <w:p w14:paraId="238BC80F" w14:textId="77777777" w:rsidR="00A640DF" w:rsidRPr="0092458B" w:rsidRDefault="00A640DF" w:rsidP="00A640DF">
      <w:pPr>
        <w:spacing w:after="0" w:line="240" w:lineRule="auto"/>
        <w:rPr>
          <w:sz w:val="24"/>
          <w:szCs w:val="24"/>
          <w:lang w:val="en-US"/>
        </w:rPr>
      </w:pPr>
    </w:p>
    <w:p w14:paraId="290B51E6" w14:textId="223C8F2A" w:rsidR="002159A0" w:rsidRPr="0092458B" w:rsidRDefault="00905311" w:rsidP="00A640DF">
      <w:pPr>
        <w:spacing w:after="0" w:line="240" w:lineRule="auto"/>
        <w:rPr>
          <w:sz w:val="24"/>
          <w:szCs w:val="24"/>
          <w:lang w:val="en-US"/>
        </w:rPr>
      </w:pPr>
      <w:proofErr w:type="spellStart"/>
      <w:r w:rsidRPr="0092458B">
        <w:rPr>
          <w:sz w:val="24"/>
          <w:szCs w:val="24"/>
          <w:lang w:val="en-US" w:bidi="en-US"/>
        </w:rPr>
        <w:lastRenderedPageBreak/>
        <w:t>Bärnthaler</w:t>
      </w:r>
      <w:proofErr w:type="spellEnd"/>
      <w:r w:rsidRPr="0092458B">
        <w:rPr>
          <w:sz w:val="24"/>
          <w:szCs w:val="24"/>
          <w:lang w:val="en-US" w:bidi="en-US"/>
        </w:rPr>
        <w:t>, R &amp; Gough, I (2023) Provisioning for sufficiency: Envisaging production corridors. Sustainability: Science, Practice and Policy 19 (1): 1-18</w:t>
      </w:r>
    </w:p>
    <w:p w14:paraId="395ABD0C" w14:textId="77777777" w:rsidR="002159A0" w:rsidRPr="0092458B" w:rsidRDefault="002159A0" w:rsidP="00A640DF">
      <w:pPr>
        <w:spacing w:after="0" w:line="240" w:lineRule="auto"/>
        <w:rPr>
          <w:sz w:val="24"/>
          <w:szCs w:val="24"/>
          <w:lang w:val="en-US"/>
        </w:rPr>
      </w:pPr>
    </w:p>
    <w:p w14:paraId="5CB87EBD" w14:textId="75CF3403" w:rsidR="008B1EDE" w:rsidRPr="0092458B" w:rsidRDefault="00703CD8" w:rsidP="00A640DF">
      <w:pPr>
        <w:spacing w:after="0" w:line="240" w:lineRule="auto"/>
        <w:rPr>
          <w:sz w:val="24"/>
          <w:szCs w:val="24"/>
          <w:lang w:val="en-US"/>
        </w:rPr>
      </w:pPr>
      <w:r w:rsidRPr="0092458B">
        <w:rPr>
          <w:sz w:val="24"/>
          <w:szCs w:val="24"/>
          <w:lang w:val="en-US" w:bidi="en-US"/>
        </w:rPr>
        <w:t>Bergquist M, Nilsson A, Harring N, Jagers S, (2022) Meta-analyses of fifteen determinants of public opinion about climate change taxes and laws. Nature Climate Change 12 (3): 235-240</w:t>
      </w:r>
    </w:p>
    <w:p w14:paraId="7CD2EF59" w14:textId="77777777" w:rsidR="00A640DF" w:rsidRPr="0092458B" w:rsidRDefault="00A640DF" w:rsidP="00A640DF">
      <w:pPr>
        <w:spacing w:after="0" w:line="240" w:lineRule="auto"/>
        <w:rPr>
          <w:sz w:val="24"/>
          <w:szCs w:val="24"/>
          <w:lang w:val="en-US"/>
        </w:rPr>
      </w:pPr>
    </w:p>
    <w:p w14:paraId="26266BB7" w14:textId="0D9734D8" w:rsidR="008954A2" w:rsidRPr="0092458B" w:rsidRDefault="008954A2" w:rsidP="00A640DF">
      <w:pPr>
        <w:spacing w:after="0" w:line="240" w:lineRule="auto"/>
        <w:rPr>
          <w:sz w:val="24"/>
          <w:szCs w:val="24"/>
          <w:lang w:val="en-US"/>
        </w:rPr>
      </w:pPr>
      <w:r w:rsidRPr="0092458B">
        <w:rPr>
          <w:sz w:val="24"/>
          <w:szCs w:val="24"/>
          <w:lang w:val="en-US" w:bidi="en-US"/>
        </w:rPr>
        <w:t>Berner A, Bruns S, Moneta A, Stern, D (2022) Do energy Efficiency Improvements reduce energy use? Empirical evidence on the economy-wide rebound effect in Europe and the United States. Energy Economics 110: 1-19</w:t>
      </w:r>
    </w:p>
    <w:p w14:paraId="210DF25D" w14:textId="77777777" w:rsidR="00A640DF" w:rsidRPr="0092458B" w:rsidRDefault="00A640DF" w:rsidP="00A640DF">
      <w:pPr>
        <w:spacing w:after="0" w:line="240" w:lineRule="auto"/>
        <w:rPr>
          <w:sz w:val="24"/>
          <w:szCs w:val="24"/>
          <w:lang w:val="en-US"/>
        </w:rPr>
      </w:pPr>
    </w:p>
    <w:p w14:paraId="2BDD256F" w14:textId="3CE10F1F" w:rsidR="00C002F1" w:rsidRPr="0092458B" w:rsidRDefault="00C002F1" w:rsidP="00A640DF">
      <w:pPr>
        <w:spacing w:after="0" w:line="240" w:lineRule="auto"/>
        <w:rPr>
          <w:sz w:val="24"/>
          <w:szCs w:val="24"/>
          <w:lang w:val="en-US"/>
        </w:rPr>
      </w:pPr>
      <w:r w:rsidRPr="0092458B">
        <w:rPr>
          <w:sz w:val="24"/>
          <w:szCs w:val="24"/>
          <w:lang w:val="en-US" w:bidi="en-US"/>
        </w:rPr>
        <w:t xml:space="preserve">Best R, Zhang Q (2020) What explains carbon-pricing variation between countries. Energy Policy 143: 1-11. </w:t>
      </w:r>
    </w:p>
    <w:p w14:paraId="4818B3AF" w14:textId="77777777" w:rsidR="00A640DF" w:rsidRPr="0092458B" w:rsidRDefault="00A640DF" w:rsidP="00A640DF">
      <w:pPr>
        <w:spacing w:after="0" w:line="240" w:lineRule="auto"/>
        <w:rPr>
          <w:sz w:val="24"/>
          <w:szCs w:val="24"/>
          <w:lang w:val="en-US"/>
        </w:rPr>
      </w:pPr>
    </w:p>
    <w:p w14:paraId="0C03F4EA" w14:textId="7ADB3F4F" w:rsidR="003B0E1C" w:rsidRPr="0092458B" w:rsidRDefault="003B0E1C" w:rsidP="00A640DF">
      <w:pPr>
        <w:spacing w:after="0" w:line="240" w:lineRule="auto"/>
        <w:rPr>
          <w:sz w:val="24"/>
          <w:szCs w:val="24"/>
          <w:lang w:val="en-US"/>
        </w:rPr>
      </w:pPr>
      <w:r w:rsidRPr="0092458B">
        <w:rPr>
          <w:sz w:val="24"/>
          <w:szCs w:val="24"/>
          <w:lang w:val="en-US" w:bidi="en-US"/>
        </w:rPr>
        <w:t>Bianchi M, Cordella, M (2023) Does circular economy mitigate the extraction of natural resources? Empirical evidence based on analysis of 28 European economies over the past decade. Ecological Economics 203: 1-11</w:t>
      </w:r>
    </w:p>
    <w:p w14:paraId="5346BF61" w14:textId="77777777" w:rsidR="00A640DF" w:rsidRPr="0092458B" w:rsidRDefault="00A640DF" w:rsidP="00A640DF">
      <w:pPr>
        <w:autoSpaceDE w:val="0"/>
        <w:autoSpaceDN w:val="0"/>
        <w:adjustRightInd w:val="0"/>
        <w:spacing w:after="0" w:line="240" w:lineRule="auto"/>
        <w:rPr>
          <w:sz w:val="24"/>
          <w:szCs w:val="24"/>
          <w:lang w:val="en-US"/>
        </w:rPr>
      </w:pPr>
    </w:p>
    <w:p w14:paraId="138FBAA9" w14:textId="476842F2" w:rsidR="008954A2" w:rsidRPr="0092458B" w:rsidRDefault="008954A2" w:rsidP="00A640DF">
      <w:pPr>
        <w:autoSpaceDE w:val="0"/>
        <w:autoSpaceDN w:val="0"/>
        <w:adjustRightInd w:val="0"/>
        <w:spacing w:after="0" w:line="240" w:lineRule="auto"/>
        <w:rPr>
          <w:sz w:val="24"/>
          <w:szCs w:val="24"/>
          <w:lang w:val="en-US"/>
        </w:rPr>
      </w:pPr>
      <w:r w:rsidRPr="0092458B">
        <w:rPr>
          <w:sz w:val="24"/>
          <w:szCs w:val="24"/>
          <w:lang w:val="en-US" w:bidi="en-US"/>
        </w:rPr>
        <w:t>Bohnenb</w:t>
      </w:r>
      <w:r w:rsidR="00C47F15">
        <w:rPr>
          <w:sz w:val="24"/>
          <w:szCs w:val="24"/>
          <w:lang w:val="en-US" w:bidi="en-US"/>
        </w:rPr>
        <w:t>e</w:t>
      </w:r>
      <w:r w:rsidRPr="0092458B">
        <w:rPr>
          <w:sz w:val="24"/>
          <w:szCs w:val="24"/>
          <w:lang w:val="en-US" w:bidi="en-US"/>
        </w:rPr>
        <w:t xml:space="preserve">rger K (2020) Money, vouchers, public Infrastructures? A framework for sustainable welfare benefits. Sustainability 12 (2): 1-30. </w:t>
      </w:r>
    </w:p>
    <w:p w14:paraId="7E183512" w14:textId="77777777" w:rsidR="003A1215" w:rsidRPr="0092458B" w:rsidRDefault="003A1215" w:rsidP="00A640DF">
      <w:pPr>
        <w:spacing w:after="0" w:line="240" w:lineRule="auto"/>
        <w:rPr>
          <w:sz w:val="24"/>
          <w:szCs w:val="24"/>
          <w:lang w:val="en-US"/>
        </w:rPr>
      </w:pPr>
    </w:p>
    <w:p w14:paraId="6310C542" w14:textId="28565F8E" w:rsidR="00377003" w:rsidRPr="0092458B" w:rsidRDefault="00377003" w:rsidP="00A640DF">
      <w:pPr>
        <w:spacing w:after="0" w:line="240" w:lineRule="auto"/>
        <w:rPr>
          <w:sz w:val="24"/>
          <w:szCs w:val="24"/>
          <w:lang w:val="en-US"/>
        </w:rPr>
      </w:pPr>
      <w:r w:rsidRPr="0092458B">
        <w:rPr>
          <w:sz w:val="24"/>
          <w:szCs w:val="24"/>
          <w:lang w:val="en-US" w:bidi="en-US"/>
        </w:rPr>
        <w:t xml:space="preserve">Bouman S, Steg L, Kiers H (2018). Measuring values in environmental research: A test of an environmental portrait value questionnaire. Frontiers in </w:t>
      </w:r>
      <w:proofErr w:type="spellStart"/>
      <w:r w:rsidRPr="0092458B">
        <w:rPr>
          <w:sz w:val="24"/>
          <w:szCs w:val="24"/>
          <w:lang w:val="en-US" w:bidi="en-US"/>
        </w:rPr>
        <w:t>Pshychology</w:t>
      </w:r>
      <w:proofErr w:type="spellEnd"/>
      <w:r w:rsidRPr="0092458B">
        <w:rPr>
          <w:sz w:val="24"/>
          <w:szCs w:val="24"/>
          <w:lang w:val="en-US" w:bidi="en-US"/>
        </w:rPr>
        <w:t xml:space="preserve"> 9: 1-15</w:t>
      </w:r>
    </w:p>
    <w:p w14:paraId="22DFAE8D" w14:textId="77777777" w:rsidR="00F44089" w:rsidRPr="0092458B" w:rsidRDefault="00F44089" w:rsidP="005D7D26">
      <w:pPr>
        <w:spacing w:after="0" w:line="240" w:lineRule="auto"/>
        <w:rPr>
          <w:sz w:val="24"/>
          <w:szCs w:val="24"/>
          <w:lang w:val="en-US"/>
        </w:rPr>
      </w:pPr>
    </w:p>
    <w:p w14:paraId="11302998" w14:textId="26A224B3" w:rsidR="00E44870" w:rsidRPr="0092458B" w:rsidRDefault="00E44870" w:rsidP="00A640DF">
      <w:pPr>
        <w:spacing w:after="0" w:line="240" w:lineRule="auto"/>
        <w:rPr>
          <w:sz w:val="24"/>
          <w:szCs w:val="24"/>
          <w:lang w:val="en-US"/>
        </w:rPr>
      </w:pPr>
      <w:r w:rsidRPr="0092458B">
        <w:rPr>
          <w:sz w:val="24"/>
          <w:szCs w:val="24"/>
          <w:lang w:val="en-US" w:bidi="en-US"/>
        </w:rPr>
        <w:t xml:space="preserve">Bradshaw C, Ehrlich P, Beattie A, Ceballos G, Crist E, Diamond J, Dirzo R, Ehrlich A, Harte, J, Harte M, Pyke G, Raven P, Ripple W, </w:t>
      </w:r>
      <w:proofErr w:type="spellStart"/>
      <w:r w:rsidRPr="0092458B">
        <w:rPr>
          <w:sz w:val="24"/>
          <w:szCs w:val="24"/>
          <w:lang w:val="en-US" w:bidi="en-US"/>
        </w:rPr>
        <w:t>Saltré</w:t>
      </w:r>
      <w:proofErr w:type="spellEnd"/>
      <w:r w:rsidRPr="0092458B">
        <w:rPr>
          <w:sz w:val="24"/>
          <w:szCs w:val="24"/>
          <w:lang w:val="en-US" w:bidi="en-US"/>
        </w:rPr>
        <w:t xml:space="preserve"> F, Turnbull C, Wackernagel M, Blumstein D (2021) Underestimating the challenges of avoiding a ghastly future. Frontiers in Conservation Science 1: 615419 </w:t>
      </w:r>
    </w:p>
    <w:p w14:paraId="0E241010" w14:textId="77777777" w:rsidR="00A640DF" w:rsidRPr="0092458B" w:rsidRDefault="00A640DF" w:rsidP="00A640DF">
      <w:pPr>
        <w:spacing w:after="0" w:line="240" w:lineRule="auto"/>
        <w:rPr>
          <w:rFonts w:cstheme="minorHAnsi"/>
          <w:sz w:val="24"/>
          <w:szCs w:val="24"/>
          <w:lang w:val="en-US"/>
        </w:rPr>
      </w:pPr>
    </w:p>
    <w:p w14:paraId="4DE93663" w14:textId="3D3DFD1D" w:rsidR="00EC6419" w:rsidRPr="0092458B" w:rsidRDefault="00EC6419" w:rsidP="00A640DF">
      <w:pPr>
        <w:spacing w:after="0" w:line="240" w:lineRule="auto"/>
        <w:rPr>
          <w:rFonts w:cstheme="minorHAnsi"/>
          <w:sz w:val="24"/>
          <w:szCs w:val="24"/>
          <w:lang w:val="en-US"/>
        </w:rPr>
      </w:pPr>
      <w:r w:rsidRPr="0092458B">
        <w:rPr>
          <w:rFonts w:cstheme="minorHAnsi"/>
          <w:sz w:val="24"/>
          <w:szCs w:val="24"/>
          <w:lang w:val="en-US" w:bidi="en-US"/>
        </w:rPr>
        <w:t xml:space="preserve">Brand U (2022) Radical emancipatory social-ecological transformations: Degrowth and the role of strategy. In: Barlow N, Regen L, </w:t>
      </w:r>
      <w:proofErr w:type="spellStart"/>
      <w:r w:rsidRPr="0092458B">
        <w:rPr>
          <w:rFonts w:cstheme="minorHAnsi"/>
          <w:sz w:val="24"/>
          <w:szCs w:val="24"/>
          <w:lang w:val="en-US" w:bidi="en-US"/>
        </w:rPr>
        <w:t>Cadiou</w:t>
      </w:r>
      <w:proofErr w:type="spellEnd"/>
      <w:r w:rsidRPr="0092458B">
        <w:rPr>
          <w:rFonts w:cstheme="minorHAnsi"/>
          <w:sz w:val="24"/>
          <w:szCs w:val="24"/>
          <w:lang w:val="en-US" w:bidi="en-US"/>
        </w:rPr>
        <w:t xml:space="preserve"> N, </w:t>
      </w:r>
      <w:proofErr w:type="spellStart"/>
      <w:r w:rsidRPr="0092458B">
        <w:rPr>
          <w:rFonts w:cstheme="minorHAnsi"/>
          <w:sz w:val="24"/>
          <w:szCs w:val="24"/>
          <w:lang w:val="en-US" w:bidi="en-US"/>
        </w:rPr>
        <w:t>Chertkovskata</w:t>
      </w:r>
      <w:proofErr w:type="spellEnd"/>
      <w:r w:rsidRPr="0092458B">
        <w:rPr>
          <w:rFonts w:cstheme="minorHAnsi"/>
          <w:sz w:val="24"/>
          <w:szCs w:val="24"/>
          <w:lang w:val="en-US" w:bidi="en-US"/>
        </w:rPr>
        <w:t xml:space="preserve"> E, Hollweg M, Plank, C, Schulken, M, Wolf V (eds.) Degrowth &amp; strategy. How to bring about social-ecological transformation. Mayfly Books, p 37-55</w:t>
      </w:r>
    </w:p>
    <w:p w14:paraId="69D9CA7A" w14:textId="77777777" w:rsidR="005727DB" w:rsidRPr="0092458B" w:rsidRDefault="005727DB" w:rsidP="00A640DF">
      <w:pPr>
        <w:spacing w:after="0" w:line="240" w:lineRule="auto"/>
        <w:rPr>
          <w:sz w:val="24"/>
          <w:szCs w:val="24"/>
          <w:lang w:val="en-US"/>
        </w:rPr>
      </w:pPr>
    </w:p>
    <w:p w14:paraId="1BF7108C" w14:textId="1178FEF5" w:rsidR="00162E00" w:rsidRPr="0092458B" w:rsidRDefault="00C1172D" w:rsidP="00A640DF">
      <w:pPr>
        <w:spacing w:after="0" w:line="240" w:lineRule="auto"/>
        <w:rPr>
          <w:sz w:val="24"/>
          <w:szCs w:val="24"/>
          <w:lang w:val="en-US"/>
        </w:rPr>
      </w:pPr>
      <w:r w:rsidRPr="0092458B">
        <w:rPr>
          <w:sz w:val="24"/>
          <w:szCs w:val="24"/>
          <w:lang w:val="en-US" w:bidi="en-US"/>
        </w:rPr>
        <w:t xml:space="preserve">Brozovic D (2023) Societal collapse: A literature review. Futures 145: 1-24. </w:t>
      </w:r>
    </w:p>
    <w:p w14:paraId="7202F398" w14:textId="77777777" w:rsidR="005727DB" w:rsidRPr="0092458B" w:rsidRDefault="005727DB" w:rsidP="00A640DF">
      <w:pPr>
        <w:spacing w:after="0" w:line="240" w:lineRule="auto"/>
        <w:rPr>
          <w:sz w:val="24"/>
          <w:szCs w:val="24"/>
          <w:lang w:val="en-US"/>
        </w:rPr>
      </w:pPr>
    </w:p>
    <w:p w14:paraId="799608C0" w14:textId="2BE1017D" w:rsidR="00654AD1" w:rsidRPr="0092458B" w:rsidRDefault="00654AD1" w:rsidP="00A640DF">
      <w:pPr>
        <w:spacing w:after="0" w:line="240" w:lineRule="auto"/>
        <w:rPr>
          <w:sz w:val="24"/>
          <w:szCs w:val="24"/>
          <w:lang w:val="en-US"/>
        </w:rPr>
      </w:pPr>
      <w:r w:rsidRPr="0092458B">
        <w:rPr>
          <w:sz w:val="24"/>
          <w:szCs w:val="24"/>
          <w:lang w:val="en-US" w:bidi="en-US"/>
        </w:rPr>
        <w:t>Buch-Hansen H (2018) The prerequisites for a degrowth paradigm shift: Insights from Critical Political Economy. Ecological Economics 146: 157-163</w:t>
      </w:r>
    </w:p>
    <w:p w14:paraId="73B27315" w14:textId="77777777" w:rsidR="005727DB" w:rsidRPr="0092458B" w:rsidRDefault="005727DB" w:rsidP="00A640DF">
      <w:pPr>
        <w:spacing w:after="0" w:line="240" w:lineRule="auto"/>
        <w:rPr>
          <w:sz w:val="24"/>
          <w:szCs w:val="24"/>
          <w:lang w:val="en-US"/>
        </w:rPr>
      </w:pPr>
    </w:p>
    <w:p w14:paraId="38369A7B" w14:textId="3D9ECB14" w:rsidR="00EA7D7C" w:rsidRPr="0092458B" w:rsidRDefault="00EA7D7C" w:rsidP="00A640DF">
      <w:pPr>
        <w:spacing w:after="0" w:line="240" w:lineRule="auto"/>
        <w:rPr>
          <w:sz w:val="24"/>
          <w:szCs w:val="24"/>
          <w:lang w:val="en-US"/>
        </w:rPr>
      </w:pPr>
      <w:r w:rsidRPr="0092458B">
        <w:rPr>
          <w:sz w:val="24"/>
          <w:szCs w:val="24"/>
          <w:lang w:val="en-US" w:bidi="en-US"/>
        </w:rPr>
        <w:t xml:space="preserve">Buch-Hansen H, Carstensen M (2021) Paradigms and the political economy of ecopolitical projects: green growth and degrowth compared. Competition &amp; Change 25(3): 308-327. </w:t>
      </w:r>
    </w:p>
    <w:p w14:paraId="36B4F437" w14:textId="77777777" w:rsidR="005727DB" w:rsidRPr="0092458B" w:rsidRDefault="005727DB" w:rsidP="00A640DF">
      <w:pPr>
        <w:spacing w:after="0" w:line="240" w:lineRule="auto"/>
        <w:rPr>
          <w:rFonts w:cstheme="minorHAnsi"/>
          <w:sz w:val="24"/>
          <w:szCs w:val="24"/>
          <w:lang w:val="en-US"/>
        </w:rPr>
      </w:pPr>
    </w:p>
    <w:p w14:paraId="6A928223" w14:textId="06D50F34" w:rsidR="00167B88" w:rsidRPr="0092458B" w:rsidRDefault="00167B88" w:rsidP="00A640DF">
      <w:pPr>
        <w:spacing w:after="0" w:line="240" w:lineRule="auto"/>
        <w:rPr>
          <w:rFonts w:cstheme="minorHAnsi"/>
          <w:sz w:val="24"/>
          <w:szCs w:val="24"/>
          <w:lang w:val="en-US"/>
        </w:rPr>
      </w:pPr>
      <w:r w:rsidRPr="0092458B">
        <w:rPr>
          <w:rFonts w:cstheme="minorHAnsi"/>
          <w:sz w:val="24"/>
          <w:szCs w:val="24"/>
          <w:lang w:val="en-US" w:bidi="en-US"/>
        </w:rPr>
        <w:t>Buch-Hansen H, Nesterova, I (2023) Less and more: Conceptualizing degrowth transformations. Ecological Economics 205: 1-9</w:t>
      </w:r>
    </w:p>
    <w:p w14:paraId="1BEC2E42" w14:textId="77777777" w:rsidR="005727DB" w:rsidRPr="0092458B" w:rsidRDefault="005727DB" w:rsidP="00A640DF">
      <w:pPr>
        <w:spacing w:after="0" w:line="240" w:lineRule="auto"/>
        <w:rPr>
          <w:rFonts w:cstheme="minorHAnsi"/>
          <w:sz w:val="24"/>
          <w:szCs w:val="24"/>
          <w:lang w:val="en-US"/>
        </w:rPr>
      </w:pPr>
    </w:p>
    <w:p w14:paraId="236BD1F0" w14:textId="4AFB0B45" w:rsidR="00716A6C" w:rsidRPr="0092458B" w:rsidRDefault="00716A6C" w:rsidP="00A640DF">
      <w:pPr>
        <w:spacing w:after="0" w:line="240" w:lineRule="auto"/>
        <w:rPr>
          <w:rFonts w:cstheme="minorHAnsi"/>
          <w:sz w:val="24"/>
          <w:szCs w:val="24"/>
          <w:lang w:val="en-US"/>
        </w:rPr>
      </w:pPr>
      <w:proofErr w:type="spellStart"/>
      <w:r w:rsidRPr="0092458B">
        <w:rPr>
          <w:rFonts w:cstheme="minorHAnsi"/>
          <w:sz w:val="24"/>
          <w:szCs w:val="24"/>
          <w:lang w:val="en-US" w:bidi="en-US"/>
        </w:rPr>
        <w:lastRenderedPageBreak/>
        <w:t>Büchs</w:t>
      </w:r>
      <w:proofErr w:type="spellEnd"/>
      <w:r w:rsidRPr="0092458B">
        <w:rPr>
          <w:rFonts w:cstheme="minorHAnsi"/>
          <w:sz w:val="24"/>
          <w:szCs w:val="24"/>
          <w:lang w:val="en-US" w:bidi="en-US"/>
        </w:rPr>
        <w:t xml:space="preserve"> M (2021) Sustainable welfare: How do universal basic income and universal basic services compare? Ecological Economics 189: 1-9</w:t>
      </w:r>
    </w:p>
    <w:p w14:paraId="7488783A" w14:textId="77777777" w:rsidR="005727DB" w:rsidRPr="0092458B" w:rsidRDefault="005727DB" w:rsidP="00A640DF">
      <w:pPr>
        <w:spacing w:after="0" w:line="240" w:lineRule="auto"/>
        <w:rPr>
          <w:rFonts w:cstheme="minorHAnsi"/>
          <w:sz w:val="24"/>
          <w:szCs w:val="24"/>
          <w:lang w:val="en-US"/>
        </w:rPr>
      </w:pPr>
    </w:p>
    <w:p w14:paraId="7A619FC1" w14:textId="25CAEA3A" w:rsidR="00716A6C" w:rsidRPr="0092458B" w:rsidRDefault="00716A6C" w:rsidP="00A640DF">
      <w:pPr>
        <w:spacing w:after="0" w:line="240" w:lineRule="auto"/>
        <w:rPr>
          <w:rFonts w:cstheme="minorHAnsi"/>
          <w:sz w:val="24"/>
          <w:szCs w:val="24"/>
          <w:lang w:val="en-US"/>
        </w:rPr>
      </w:pPr>
      <w:proofErr w:type="spellStart"/>
      <w:r w:rsidRPr="0092458B">
        <w:rPr>
          <w:rFonts w:cstheme="minorHAnsi"/>
          <w:sz w:val="24"/>
          <w:szCs w:val="24"/>
          <w:lang w:val="en-US" w:bidi="en-US"/>
        </w:rPr>
        <w:t>Büchs</w:t>
      </w:r>
      <w:proofErr w:type="spellEnd"/>
      <w:r w:rsidRPr="0092458B">
        <w:rPr>
          <w:rFonts w:cstheme="minorHAnsi"/>
          <w:sz w:val="24"/>
          <w:szCs w:val="24"/>
          <w:lang w:val="en-US" w:bidi="en-US"/>
        </w:rPr>
        <w:t xml:space="preserve"> M, Koch M (2019) Challenges for the degrowth transition: The debate about wellbeing. Futures 105: 155-165. </w:t>
      </w:r>
    </w:p>
    <w:p w14:paraId="7E7A8498" w14:textId="77777777" w:rsidR="005727DB" w:rsidRPr="0092458B" w:rsidRDefault="005727DB" w:rsidP="00A640DF">
      <w:pPr>
        <w:spacing w:after="0" w:line="240" w:lineRule="auto"/>
        <w:rPr>
          <w:rFonts w:cstheme="minorHAnsi"/>
          <w:sz w:val="24"/>
          <w:szCs w:val="24"/>
          <w:lang w:val="en-US"/>
        </w:rPr>
      </w:pPr>
    </w:p>
    <w:p w14:paraId="2CE3C7E3" w14:textId="4E99D483" w:rsidR="008430F0" w:rsidRPr="0092458B" w:rsidRDefault="00582DE5" w:rsidP="00A640DF">
      <w:pPr>
        <w:spacing w:after="0" w:line="240" w:lineRule="auto"/>
        <w:rPr>
          <w:rFonts w:cstheme="minorHAnsi"/>
          <w:sz w:val="24"/>
          <w:szCs w:val="24"/>
          <w:lang w:val="en-US"/>
        </w:rPr>
      </w:pPr>
      <w:r w:rsidRPr="0092458B">
        <w:rPr>
          <w:rFonts w:cstheme="minorHAnsi"/>
          <w:sz w:val="24"/>
          <w:szCs w:val="24"/>
          <w:lang w:val="en-US" w:bidi="en-US"/>
        </w:rPr>
        <w:t xml:space="preserve">Bumann S (2021) What are the determinants of public support for climate policies? A review of the empirical literature. Review of Economics 72 (3): 213-22. </w:t>
      </w:r>
    </w:p>
    <w:p w14:paraId="6A7F1701" w14:textId="77777777" w:rsidR="005727DB" w:rsidRPr="0092458B" w:rsidRDefault="005727DB" w:rsidP="00A640DF">
      <w:pPr>
        <w:spacing w:after="0" w:line="240" w:lineRule="auto"/>
        <w:rPr>
          <w:rFonts w:cstheme="minorHAnsi"/>
          <w:sz w:val="24"/>
          <w:szCs w:val="24"/>
          <w:lang w:val="en-US"/>
        </w:rPr>
      </w:pPr>
    </w:p>
    <w:p w14:paraId="5E855722" w14:textId="1A6331ED" w:rsidR="00737E55" w:rsidRPr="0092458B" w:rsidRDefault="00737E55" w:rsidP="00A640DF">
      <w:pPr>
        <w:spacing w:after="0" w:line="240" w:lineRule="auto"/>
        <w:rPr>
          <w:rFonts w:cstheme="minorHAnsi"/>
          <w:sz w:val="24"/>
          <w:szCs w:val="24"/>
          <w:lang w:val="en-US"/>
        </w:rPr>
      </w:pPr>
      <w:r w:rsidRPr="0092458B">
        <w:rPr>
          <w:rFonts w:cstheme="minorHAnsi"/>
          <w:sz w:val="24"/>
          <w:szCs w:val="24"/>
          <w:lang w:val="en-US" w:bidi="en-US"/>
        </w:rPr>
        <w:t xml:space="preserve">Burkhart C, Schmelzer M, Treu N (2020) Introduction: degrowth and the emerging mosaic of alternatives. In: Burkhart C, Schmelzer M, Treu N (eds.) Degrowth in movement(s). Exploring pathways for transformation. Zero Books, Winchester, p. 8-32 </w:t>
      </w:r>
    </w:p>
    <w:p w14:paraId="210B92C1" w14:textId="77777777" w:rsidR="005727DB" w:rsidRPr="0092458B" w:rsidRDefault="005727DB" w:rsidP="00A640DF">
      <w:pPr>
        <w:spacing w:after="0" w:line="240" w:lineRule="auto"/>
        <w:rPr>
          <w:rFonts w:cstheme="minorHAnsi"/>
          <w:sz w:val="24"/>
          <w:szCs w:val="24"/>
          <w:lang w:val="en-US"/>
        </w:rPr>
      </w:pPr>
    </w:p>
    <w:p w14:paraId="695B7921" w14:textId="01EAA012" w:rsidR="002607C4" w:rsidRPr="0092458B" w:rsidRDefault="002607C4" w:rsidP="00A640DF">
      <w:pPr>
        <w:spacing w:after="0" w:line="240" w:lineRule="auto"/>
        <w:rPr>
          <w:rFonts w:cstheme="minorHAnsi"/>
          <w:sz w:val="24"/>
          <w:szCs w:val="24"/>
          <w:lang w:val="en-US"/>
        </w:rPr>
      </w:pPr>
      <w:r w:rsidRPr="0092458B">
        <w:rPr>
          <w:rFonts w:cstheme="minorHAnsi"/>
          <w:sz w:val="24"/>
          <w:szCs w:val="24"/>
          <w:lang w:val="en-US" w:bidi="en-US"/>
        </w:rPr>
        <w:t>Burstein P (2003) The impact of public opinion on public policy: A review and an agenda. Political Research Quarterly 56 (1): 29-40</w:t>
      </w:r>
    </w:p>
    <w:p w14:paraId="22C5D329" w14:textId="77777777" w:rsidR="005727DB" w:rsidRPr="0092458B" w:rsidRDefault="005727DB" w:rsidP="00A640DF">
      <w:pPr>
        <w:spacing w:after="0" w:line="240" w:lineRule="auto"/>
        <w:rPr>
          <w:rFonts w:cstheme="minorHAnsi"/>
          <w:sz w:val="24"/>
          <w:szCs w:val="24"/>
          <w:lang w:val="en-US"/>
        </w:rPr>
      </w:pPr>
    </w:p>
    <w:p w14:paraId="17DCDBED" w14:textId="77777777" w:rsidR="005727DB" w:rsidRPr="0092458B" w:rsidRDefault="00D95A15" w:rsidP="00A640DF">
      <w:pPr>
        <w:spacing w:after="0" w:line="240" w:lineRule="auto"/>
        <w:rPr>
          <w:rFonts w:cstheme="minorHAnsi"/>
          <w:sz w:val="24"/>
          <w:szCs w:val="24"/>
          <w:lang w:val="en-US"/>
        </w:rPr>
      </w:pPr>
      <w:proofErr w:type="spellStart"/>
      <w:r w:rsidRPr="0092458B">
        <w:rPr>
          <w:rFonts w:cstheme="minorHAnsi"/>
          <w:sz w:val="24"/>
          <w:szCs w:val="24"/>
          <w:lang w:val="en-US" w:bidi="en-US"/>
        </w:rPr>
        <w:t>Chertkovskaya</w:t>
      </w:r>
      <w:proofErr w:type="spellEnd"/>
      <w:r w:rsidRPr="0092458B">
        <w:rPr>
          <w:rFonts w:cstheme="minorHAnsi"/>
          <w:sz w:val="24"/>
          <w:szCs w:val="24"/>
          <w:lang w:val="en-US" w:bidi="en-US"/>
        </w:rPr>
        <w:t xml:space="preserve"> E, (2022) A strategic canvas for degrowth: In dialogue with Erik Olin Wright. In: </w:t>
      </w:r>
    </w:p>
    <w:p w14:paraId="3100236B" w14:textId="1A0A4A9B" w:rsidR="00D95A15" w:rsidRPr="0092458B" w:rsidRDefault="00D95A15" w:rsidP="00A640DF">
      <w:pPr>
        <w:spacing w:after="0" w:line="240" w:lineRule="auto"/>
        <w:rPr>
          <w:rFonts w:cstheme="minorHAnsi"/>
          <w:sz w:val="24"/>
          <w:szCs w:val="24"/>
          <w:lang w:val="en-US"/>
        </w:rPr>
      </w:pPr>
      <w:r w:rsidRPr="0092458B">
        <w:rPr>
          <w:rFonts w:cstheme="minorHAnsi"/>
          <w:sz w:val="24"/>
          <w:szCs w:val="24"/>
          <w:lang w:val="en-US" w:bidi="en-US"/>
        </w:rPr>
        <w:t xml:space="preserve">Barlow N, Regen L, </w:t>
      </w:r>
      <w:proofErr w:type="spellStart"/>
      <w:r w:rsidRPr="0092458B">
        <w:rPr>
          <w:rFonts w:cstheme="minorHAnsi"/>
          <w:sz w:val="24"/>
          <w:szCs w:val="24"/>
          <w:lang w:val="en-US" w:bidi="en-US"/>
        </w:rPr>
        <w:t>Cadiou</w:t>
      </w:r>
      <w:proofErr w:type="spellEnd"/>
      <w:r w:rsidRPr="0092458B">
        <w:rPr>
          <w:rFonts w:cstheme="minorHAnsi"/>
          <w:sz w:val="24"/>
          <w:szCs w:val="24"/>
          <w:lang w:val="en-US" w:bidi="en-US"/>
        </w:rPr>
        <w:t xml:space="preserve"> N, </w:t>
      </w:r>
      <w:proofErr w:type="spellStart"/>
      <w:r w:rsidRPr="0092458B">
        <w:rPr>
          <w:rFonts w:cstheme="minorHAnsi"/>
          <w:sz w:val="24"/>
          <w:szCs w:val="24"/>
          <w:lang w:val="en-US" w:bidi="en-US"/>
        </w:rPr>
        <w:t>Chertkovskata</w:t>
      </w:r>
      <w:proofErr w:type="spellEnd"/>
      <w:r w:rsidRPr="0092458B">
        <w:rPr>
          <w:rFonts w:cstheme="minorHAnsi"/>
          <w:sz w:val="24"/>
          <w:szCs w:val="24"/>
          <w:lang w:val="en-US" w:bidi="en-US"/>
        </w:rPr>
        <w:t xml:space="preserve"> E, Hollweg M, Plank, C, Schulken, M, Wolf V (eds.) Degrowth &amp; strategy. How to bring about social-ecological transformation. Mayfly Books, p. 56-76</w:t>
      </w:r>
    </w:p>
    <w:p w14:paraId="05E5668F" w14:textId="77777777" w:rsidR="005727DB" w:rsidRPr="0092458B" w:rsidRDefault="005727DB" w:rsidP="00A640DF">
      <w:pPr>
        <w:spacing w:after="0" w:line="240" w:lineRule="auto"/>
        <w:rPr>
          <w:rFonts w:cstheme="minorHAnsi"/>
          <w:sz w:val="24"/>
          <w:szCs w:val="24"/>
          <w:lang w:val="en-US"/>
        </w:rPr>
      </w:pPr>
    </w:p>
    <w:p w14:paraId="48156F49" w14:textId="17EA1FA1" w:rsidR="00024DA3" w:rsidRPr="0092458B" w:rsidRDefault="00024DA3" w:rsidP="00A640DF">
      <w:pPr>
        <w:spacing w:after="0" w:line="240" w:lineRule="auto"/>
        <w:rPr>
          <w:rFonts w:cstheme="minorHAnsi"/>
          <w:sz w:val="24"/>
          <w:szCs w:val="24"/>
          <w:lang w:val="en-US" w:bidi="en-US"/>
        </w:rPr>
      </w:pPr>
      <w:bookmarkStart w:id="0" w:name="_Hlk145155901"/>
      <w:r w:rsidRPr="0092458B">
        <w:rPr>
          <w:rFonts w:cstheme="minorHAnsi"/>
          <w:sz w:val="24"/>
          <w:szCs w:val="24"/>
          <w:lang w:val="en-US" w:bidi="en-US"/>
        </w:rPr>
        <w:t>Chung, H (2022). A social policy case for a four-day week. Journal of Social Policy 51 (3): 551-566</w:t>
      </w:r>
    </w:p>
    <w:bookmarkEnd w:id="0"/>
    <w:p w14:paraId="78B5EB9A" w14:textId="77777777" w:rsidR="00024DA3" w:rsidRPr="0092458B" w:rsidRDefault="00024DA3" w:rsidP="00A640DF">
      <w:pPr>
        <w:spacing w:after="0" w:line="240" w:lineRule="auto"/>
        <w:rPr>
          <w:rFonts w:cstheme="minorHAnsi"/>
          <w:sz w:val="24"/>
          <w:szCs w:val="24"/>
          <w:lang w:val="en-US" w:bidi="en-US"/>
        </w:rPr>
      </w:pPr>
    </w:p>
    <w:p w14:paraId="6D5B9DC1" w14:textId="2DE512F8" w:rsidR="00D95A15" w:rsidRPr="0092458B" w:rsidRDefault="00D95A15" w:rsidP="00A640DF">
      <w:pPr>
        <w:spacing w:after="0" w:line="240" w:lineRule="auto"/>
        <w:rPr>
          <w:rFonts w:cstheme="minorHAnsi"/>
          <w:sz w:val="24"/>
          <w:szCs w:val="24"/>
          <w:lang w:val="en-US"/>
        </w:rPr>
      </w:pPr>
      <w:r w:rsidRPr="0092458B">
        <w:rPr>
          <w:rFonts w:cstheme="minorHAnsi"/>
          <w:sz w:val="24"/>
          <w:szCs w:val="24"/>
          <w:lang w:val="en-US" w:bidi="en-US"/>
        </w:rPr>
        <w:t xml:space="preserve">Chrisp J, </w:t>
      </w:r>
      <w:proofErr w:type="spellStart"/>
      <w:r w:rsidRPr="0092458B">
        <w:rPr>
          <w:rFonts w:cstheme="minorHAnsi"/>
          <w:sz w:val="24"/>
          <w:szCs w:val="24"/>
          <w:lang w:val="en-US" w:bidi="en-US"/>
        </w:rPr>
        <w:t>Laenen</w:t>
      </w:r>
      <w:proofErr w:type="spellEnd"/>
      <w:r w:rsidRPr="0092458B">
        <w:rPr>
          <w:rFonts w:cstheme="minorHAnsi"/>
          <w:sz w:val="24"/>
          <w:szCs w:val="24"/>
          <w:lang w:val="en-US" w:bidi="en-US"/>
        </w:rPr>
        <w:t xml:space="preserve"> T, van Oorschot W (2020) The social legitimacy of basic income: A multidimensional and cross-national perspective. An introduction to the special issue. Journal of International and Comparative Social Policy 36 (3): 217-222. </w:t>
      </w:r>
    </w:p>
    <w:p w14:paraId="0C555DB5" w14:textId="77777777" w:rsidR="005727DB" w:rsidRPr="0092458B" w:rsidRDefault="005727DB" w:rsidP="00A640DF">
      <w:pPr>
        <w:spacing w:after="0" w:line="240" w:lineRule="auto"/>
        <w:rPr>
          <w:rFonts w:cstheme="minorHAnsi"/>
          <w:sz w:val="24"/>
          <w:szCs w:val="24"/>
          <w:lang w:val="en-US"/>
        </w:rPr>
      </w:pPr>
    </w:p>
    <w:p w14:paraId="624536C4" w14:textId="5F063613" w:rsidR="007B55AA" w:rsidRPr="0092458B" w:rsidRDefault="007B55AA" w:rsidP="00A640DF">
      <w:pPr>
        <w:spacing w:after="0" w:line="240" w:lineRule="auto"/>
        <w:rPr>
          <w:rFonts w:cstheme="minorHAnsi"/>
          <w:sz w:val="24"/>
          <w:szCs w:val="24"/>
          <w:lang w:val="en-US"/>
        </w:rPr>
      </w:pPr>
      <w:proofErr w:type="spellStart"/>
      <w:r w:rsidRPr="0092458B">
        <w:rPr>
          <w:rFonts w:cstheme="minorHAnsi"/>
          <w:sz w:val="24"/>
          <w:szCs w:val="24"/>
          <w:lang w:val="en-US" w:bidi="en-US"/>
        </w:rPr>
        <w:t>Collste</w:t>
      </w:r>
      <w:proofErr w:type="spellEnd"/>
      <w:r w:rsidRPr="0092458B">
        <w:rPr>
          <w:rFonts w:cstheme="minorHAnsi"/>
          <w:sz w:val="24"/>
          <w:szCs w:val="24"/>
          <w:lang w:val="en-US" w:bidi="en-US"/>
        </w:rPr>
        <w:t xml:space="preserve"> D, Cornell S, Randers, J, </w:t>
      </w:r>
      <w:proofErr w:type="spellStart"/>
      <w:r w:rsidRPr="0092458B">
        <w:rPr>
          <w:rFonts w:cstheme="minorHAnsi"/>
          <w:sz w:val="24"/>
          <w:szCs w:val="24"/>
          <w:lang w:val="en-US" w:bidi="en-US"/>
        </w:rPr>
        <w:t>Rockström</w:t>
      </w:r>
      <w:proofErr w:type="spellEnd"/>
      <w:r w:rsidRPr="0092458B">
        <w:rPr>
          <w:rFonts w:cstheme="minorHAnsi"/>
          <w:sz w:val="24"/>
          <w:szCs w:val="24"/>
          <w:lang w:val="en-US" w:bidi="en-US"/>
        </w:rPr>
        <w:t xml:space="preserve"> J, </w:t>
      </w:r>
      <w:proofErr w:type="spellStart"/>
      <w:r w:rsidRPr="0092458B">
        <w:rPr>
          <w:rFonts w:cstheme="minorHAnsi"/>
          <w:sz w:val="24"/>
          <w:szCs w:val="24"/>
          <w:lang w:val="en-US" w:bidi="en-US"/>
        </w:rPr>
        <w:t>Stoknes</w:t>
      </w:r>
      <w:proofErr w:type="spellEnd"/>
      <w:r w:rsidRPr="0092458B">
        <w:rPr>
          <w:rFonts w:cstheme="minorHAnsi"/>
          <w:sz w:val="24"/>
          <w:szCs w:val="24"/>
          <w:lang w:val="en-US" w:bidi="en-US"/>
        </w:rPr>
        <w:t xml:space="preserve">, P (2021). Human well-being in the </w:t>
      </w:r>
      <w:proofErr w:type="spellStart"/>
      <w:r w:rsidRPr="0092458B">
        <w:rPr>
          <w:rFonts w:cstheme="minorHAnsi"/>
          <w:sz w:val="24"/>
          <w:szCs w:val="24"/>
          <w:lang w:val="en-US" w:bidi="en-US"/>
        </w:rPr>
        <w:t>anthropocene</w:t>
      </w:r>
      <w:proofErr w:type="spellEnd"/>
      <w:r w:rsidRPr="0092458B">
        <w:rPr>
          <w:rFonts w:cstheme="minorHAnsi"/>
          <w:sz w:val="24"/>
          <w:szCs w:val="24"/>
          <w:lang w:val="en-US" w:bidi="en-US"/>
        </w:rPr>
        <w:t>: Limits to growth. Global Sustainability 4 (30): 1-9</w:t>
      </w:r>
    </w:p>
    <w:p w14:paraId="52EF2A26" w14:textId="77777777" w:rsidR="005727DB" w:rsidRPr="0092458B" w:rsidRDefault="005727DB" w:rsidP="00A640DF">
      <w:pPr>
        <w:spacing w:after="0" w:line="240" w:lineRule="auto"/>
        <w:rPr>
          <w:rFonts w:cstheme="minorHAnsi"/>
          <w:sz w:val="24"/>
          <w:szCs w:val="24"/>
          <w:lang w:val="en-US"/>
        </w:rPr>
      </w:pPr>
    </w:p>
    <w:p w14:paraId="64045DA7" w14:textId="31B0490C" w:rsidR="00D95A15" w:rsidRPr="0092458B" w:rsidRDefault="00D95A15" w:rsidP="00A640DF">
      <w:pPr>
        <w:spacing w:after="0" w:line="240" w:lineRule="auto"/>
        <w:rPr>
          <w:rFonts w:cstheme="minorHAnsi"/>
          <w:sz w:val="24"/>
          <w:szCs w:val="24"/>
          <w:lang w:val="en-US"/>
        </w:rPr>
      </w:pPr>
      <w:r w:rsidRPr="0092458B">
        <w:rPr>
          <w:rFonts w:cstheme="minorHAnsi"/>
          <w:sz w:val="24"/>
          <w:szCs w:val="24"/>
          <w:lang w:val="en-US" w:bidi="en-US"/>
        </w:rPr>
        <w:t>Coote A (2022) Towards a sustainable welfare state: The role of universal basic services. Social Policy and Society 21 (3): 473-483</w:t>
      </w:r>
    </w:p>
    <w:p w14:paraId="1E011BA5" w14:textId="77777777" w:rsidR="005727DB" w:rsidRPr="0092458B" w:rsidRDefault="005727DB" w:rsidP="00A640DF">
      <w:pPr>
        <w:spacing w:after="0" w:line="240" w:lineRule="auto"/>
        <w:rPr>
          <w:rFonts w:cstheme="minorHAnsi"/>
          <w:sz w:val="24"/>
          <w:szCs w:val="24"/>
          <w:lang w:val="en-US"/>
        </w:rPr>
      </w:pPr>
    </w:p>
    <w:p w14:paraId="6CDECF1C" w14:textId="12FA0E3E" w:rsidR="001963AC" w:rsidRPr="0092458B" w:rsidRDefault="001963AC" w:rsidP="00A640DF">
      <w:pPr>
        <w:spacing w:after="0" w:line="240" w:lineRule="auto"/>
        <w:rPr>
          <w:rFonts w:cstheme="minorHAnsi"/>
          <w:sz w:val="24"/>
          <w:szCs w:val="24"/>
          <w:lang w:val="en-US"/>
        </w:rPr>
      </w:pPr>
      <w:r w:rsidRPr="0092458B">
        <w:rPr>
          <w:rFonts w:cstheme="minorHAnsi"/>
          <w:sz w:val="24"/>
          <w:szCs w:val="24"/>
          <w:lang w:val="en-US" w:bidi="en-US"/>
        </w:rPr>
        <w:t xml:space="preserve">Cosme I, Santos R, O’Neill D (2017) Assessing the degrowth discourse: A review and analysis of academic degrowth policy proposals. Journal of Cleaner Production 149: 321-334.  </w:t>
      </w:r>
    </w:p>
    <w:p w14:paraId="5F1C1957" w14:textId="77777777" w:rsidR="005727DB" w:rsidRPr="0092458B" w:rsidRDefault="005727DB" w:rsidP="00A640DF">
      <w:pPr>
        <w:spacing w:after="0" w:line="240" w:lineRule="auto"/>
        <w:rPr>
          <w:rFonts w:cstheme="minorHAnsi"/>
          <w:sz w:val="24"/>
          <w:szCs w:val="24"/>
          <w:lang w:val="en-US"/>
        </w:rPr>
      </w:pPr>
    </w:p>
    <w:p w14:paraId="6ACF184C" w14:textId="757D330B" w:rsidR="00713FC1" w:rsidRPr="0092458B" w:rsidRDefault="00713FC1" w:rsidP="00A640DF">
      <w:pPr>
        <w:spacing w:after="0" w:line="240" w:lineRule="auto"/>
        <w:rPr>
          <w:rFonts w:cstheme="minorHAnsi"/>
          <w:sz w:val="24"/>
          <w:szCs w:val="24"/>
          <w:lang w:val="en-US"/>
        </w:rPr>
      </w:pPr>
      <w:proofErr w:type="spellStart"/>
      <w:r w:rsidRPr="0092458B">
        <w:rPr>
          <w:rFonts w:cstheme="minorHAnsi"/>
          <w:sz w:val="24"/>
          <w:szCs w:val="24"/>
          <w:lang w:val="en-US" w:bidi="en-US"/>
        </w:rPr>
        <w:t>D’Alisa</w:t>
      </w:r>
      <w:proofErr w:type="spellEnd"/>
      <w:r w:rsidRPr="0092458B">
        <w:rPr>
          <w:rFonts w:cstheme="minorHAnsi"/>
          <w:sz w:val="24"/>
          <w:szCs w:val="24"/>
          <w:lang w:val="en-US" w:bidi="en-US"/>
        </w:rPr>
        <w:t xml:space="preserve"> G, Kallis G (2020) Degrowth and the state. Ecological Economics 169: 1-9</w:t>
      </w:r>
    </w:p>
    <w:p w14:paraId="55E25573" w14:textId="1FA6ADEB" w:rsidR="004563D5" w:rsidRPr="0092458B" w:rsidRDefault="004563D5" w:rsidP="00A640DF">
      <w:pPr>
        <w:spacing w:after="0" w:line="240" w:lineRule="auto"/>
        <w:rPr>
          <w:rFonts w:cstheme="minorHAnsi"/>
          <w:sz w:val="24"/>
          <w:szCs w:val="24"/>
          <w:lang w:val="en-US"/>
        </w:rPr>
      </w:pPr>
      <w:r w:rsidRPr="0092458B">
        <w:rPr>
          <w:rFonts w:cstheme="minorHAnsi"/>
          <w:sz w:val="24"/>
          <w:szCs w:val="24"/>
          <w:lang w:val="en-US" w:bidi="en-US"/>
        </w:rPr>
        <w:t xml:space="preserve">Daly H (2007) Ecological economics and sustainable development: Selected essays of Herman Daly. Edward Elgar, Cheltenham. </w:t>
      </w:r>
    </w:p>
    <w:p w14:paraId="648590CB" w14:textId="77777777" w:rsidR="005727DB" w:rsidRPr="0092458B" w:rsidRDefault="005727DB" w:rsidP="00A640DF">
      <w:pPr>
        <w:spacing w:after="0" w:line="240" w:lineRule="auto"/>
        <w:rPr>
          <w:rFonts w:cstheme="minorHAnsi"/>
          <w:sz w:val="24"/>
          <w:szCs w:val="24"/>
          <w:lang w:val="en-US"/>
        </w:rPr>
      </w:pPr>
    </w:p>
    <w:p w14:paraId="41A7D87C" w14:textId="4E03028C" w:rsidR="0054773C" w:rsidRPr="0092458B" w:rsidRDefault="00C43A83" w:rsidP="00A640DF">
      <w:pPr>
        <w:spacing w:after="0" w:line="240" w:lineRule="auto"/>
        <w:rPr>
          <w:rFonts w:cstheme="minorHAnsi"/>
          <w:sz w:val="24"/>
          <w:szCs w:val="24"/>
          <w:lang w:val="en-US"/>
        </w:rPr>
      </w:pPr>
      <w:proofErr w:type="spellStart"/>
      <w:r w:rsidRPr="0092458B">
        <w:rPr>
          <w:rFonts w:cstheme="minorHAnsi"/>
          <w:sz w:val="24"/>
          <w:szCs w:val="24"/>
          <w:lang w:val="en-US" w:bidi="en-US"/>
        </w:rPr>
        <w:t>Dechezleprêtre</w:t>
      </w:r>
      <w:proofErr w:type="spellEnd"/>
      <w:r w:rsidRPr="0092458B">
        <w:rPr>
          <w:rFonts w:cstheme="minorHAnsi"/>
          <w:sz w:val="24"/>
          <w:szCs w:val="24"/>
          <w:lang w:val="en-US" w:bidi="en-US"/>
        </w:rPr>
        <w:t xml:space="preserve"> A, Fabre A, Kruse T, </w:t>
      </w:r>
      <w:proofErr w:type="spellStart"/>
      <w:r w:rsidRPr="0092458B">
        <w:rPr>
          <w:rFonts w:cstheme="minorHAnsi"/>
          <w:sz w:val="24"/>
          <w:szCs w:val="24"/>
          <w:lang w:val="en-US" w:bidi="en-US"/>
        </w:rPr>
        <w:t>Planterose</w:t>
      </w:r>
      <w:proofErr w:type="spellEnd"/>
      <w:r w:rsidRPr="0092458B">
        <w:rPr>
          <w:rFonts w:cstheme="minorHAnsi"/>
          <w:sz w:val="24"/>
          <w:szCs w:val="24"/>
          <w:lang w:val="en-US" w:bidi="en-US"/>
        </w:rPr>
        <w:t xml:space="preserve"> B, Chico A, </w:t>
      </w:r>
      <w:proofErr w:type="spellStart"/>
      <w:r w:rsidRPr="0092458B">
        <w:rPr>
          <w:rFonts w:cstheme="minorHAnsi"/>
          <w:sz w:val="24"/>
          <w:szCs w:val="24"/>
          <w:lang w:val="en-US" w:bidi="en-US"/>
        </w:rPr>
        <w:t>Stantcheya</w:t>
      </w:r>
      <w:proofErr w:type="spellEnd"/>
      <w:r w:rsidRPr="0092458B">
        <w:rPr>
          <w:rFonts w:cstheme="minorHAnsi"/>
          <w:sz w:val="24"/>
          <w:szCs w:val="24"/>
          <w:lang w:val="en-US" w:bidi="en-US"/>
        </w:rPr>
        <w:t xml:space="preserve"> S (2022) Fighting climate change: International attitudes toward climate policies. OECD Economics Department Working Papers No. 1714. </w:t>
      </w:r>
    </w:p>
    <w:p w14:paraId="5A6380F9" w14:textId="77777777" w:rsidR="005727DB" w:rsidRPr="0092458B" w:rsidRDefault="005727DB" w:rsidP="00A640DF">
      <w:pPr>
        <w:spacing w:after="0" w:line="240" w:lineRule="auto"/>
        <w:rPr>
          <w:rFonts w:cstheme="minorHAnsi"/>
          <w:sz w:val="24"/>
          <w:szCs w:val="24"/>
          <w:lang w:val="en-US"/>
        </w:rPr>
      </w:pPr>
    </w:p>
    <w:p w14:paraId="5761C765" w14:textId="6A40FE2A" w:rsidR="00C229D3" w:rsidRPr="0092458B" w:rsidRDefault="00C229D3" w:rsidP="00A640DF">
      <w:pPr>
        <w:spacing w:after="0" w:line="240" w:lineRule="auto"/>
        <w:rPr>
          <w:rFonts w:cstheme="minorHAnsi"/>
          <w:sz w:val="24"/>
          <w:szCs w:val="24"/>
          <w:lang w:val="en-US"/>
        </w:rPr>
      </w:pPr>
      <w:r w:rsidRPr="0092458B">
        <w:rPr>
          <w:rFonts w:cstheme="minorHAnsi"/>
          <w:sz w:val="24"/>
          <w:szCs w:val="24"/>
          <w:lang w:val="en-US" w:bidi="en-US"/>
        </w:rPr>
        <w:t xml:space="preserve">Demaria F, Schneider F, </w:t>
      </w:r>
      <w:proofErr w:type="spellStart"/>
      <w:r w:rsidRPr="0092458B">
        <w:rPr>
          <w:rFonts w:cstheme="minorHAnsi"/>
          <w:sz w:val="24"/>
          <w:szCs w:val="24"/>
          <w:lang w:val="en-US" w:bidi="en-US"/>
        </w:rPr>
        <w:t>Sekulova</w:t>
      </w:r>
      <w:proofErr w:type="spellEnd"/>
      <w:r w:rsidRPr="0092458B">
        <w:rPr>
          <w:rFonts w:cstheme="minorHAnsi"/>
          <w:sz w:val="24"/>
          <w:szCs w:val="24"/>
          <w:lang w:val="en-US" w:bidi="en-US"/>
        </w:rPr>
        <w:t xml:space="preserve"> F, Martinez-Alier J (2013). What is degrowth? From an activist slogan to a social movement. Environmental Values 22 (2): 191-215</w:t>
      </w:r>
    </w:p>
    <w:p w14:paraId="6208594C" w14:textId="77777777" w:rsidR="005727DB" w:rsidRPr="0092458B" w:rsidRDefault="005727DB" w:rsidP="00A640DF">
      <w:pPr>
        <w:spacing w:after="0" w:line="240" w:lineRule="auto"/>
        <w:rPr>
          <w:rFonts w:cstheme="minorHAnsi"/>
          <w:sz w:val="24"/>
          <w:szCs w:val="24"/>
          <w:lang w:val="en-US"/>
        </w:rPr>
      </w:pPr>
    </w:p>
    <w:p w14:paraId="781E029C" w14:textId="796991B9" w:rsidR="002128DD" w:rsidRPr="0092458B" w:rsidRDefault="002128DD" w:rsidP="00A640DF">
      <w:pPr>
        <w:spacing w:after="0" w:line="240" w:lineRule="auto"/>
        <w:rPr>
          <w:rFonts w:cstheme="minorHAnsi"/>
          <w:sz w:val="24"/>
          <w:szCs w:val="24"/>
          <w:lang w:val="en-US"/>
        </w:rPr>
      </w:pPr>
      <w:proofErr w:type="spellStart"/>
      <w:r w:rsidRPr="0092458B">
        <w:rPr>
          <w:rFonts w:cstheme="minorHAnsi"/>
          <w:sz w:val="24"/>
          <w:szCs w:val="24"/>
          <w:lang w:val="en-US" w:bidi="en-US"/>
        </w:rPr>
        <w:t>Deriu</w:t>
      </w:r>
      <w:proofErr w:type="spellEnd"/>
      <w:r w:rsidRPr="0092458B">
        <w:rPr>
          <w:rFonts w:cstheme="minorHAnsi"/>
          <w:sz w:val="24"/>
          <w:szCs w:val="24"/>
          <w:lang w:val="en-US" w:bidi="en-US"/>
        </w:rPr>
        <w:t xml:space="preserve"> M (2015). Conviviality. </w:t>
      </w:r>
      <w:r w:rsidRPr="0092458B">
        <w:rPr>
          <w:sz w:val="24"/>
          <w:szCs w:val="24"/>
          <w:lang w:val="en-US" w:bidi="en-US"/>
        </w:rPr>
        <w:t xml:space="preserve">In: </w:t>
      </w:r>
      <w:proofErr w:type="spellStart"/>
      <w:r w:rsidRPr="0092458B">
        <w:rPr>
          <w:rFonts w:cstheme="minorHAnsi"/>
          <w:sz w:val="24"/>
          <w:szCs w:val="24"/>
          <w:lang w:val="en-US" w:bidi="en-US"/>
        </w:rPr>
        <w:t>D’Alisa</w:t>
      </w:r>
      <w:proofErr w:type="spellEnd"/>
      <w:r w:rsidRPr="0092458B">
        <w:rPr>
          <w:rFonts w:cstheme="minorHAnsi"/>
          <w:sz w:val="24"/>
          <w:szCs w:val="24"/>
          <w:lang w:val="en-US" w:bidi="en-US"/>
        </w:rPr>
        <w:t xml:space="preserve"> G, Demaria F, Kallis G (eds.) Degrowth: A vocabulary for a new era. Routledge, Abingdon, p. 104-107).</w:t>
      </w:r>
    </w:p>
    <w:p w14:paraId="68C2706C" w14:textId="77777777" w:rsidR="005727DB" w:rsidRPr="0092458B" w:rsidRDefault="005727DB" w:rsidP="00A640DF">
      <w:pPr>
        <w:spacing w:after="0" w:line="240" w:lineRule="auto"/>
        <w:rPr>
          <w:rFonts w:cstheme="minorHAnsi"/>
          <w:sz w:val="24"/>
          <w:szCs w:val="24"/>
          <w:lang w:val="en-US"/>
        </w:rPr>
      </w:pPr>
    </w:p>
    <w:p w14:paraId="5B78ECC9" w14:textId="3877D8BC" w:rsidR="002D2523" w:rsidRPr="0092458B" w:rsidRDefault="00704307" w:rsidP="00A640DF">
      <w:pPr>
        <w:spacing w:after="0" w:line="240" w:lineRule="auto"/>
        <w:rPr>
          <w:rFonts w:cstheme="minorHAnsi"/>
          <w:sz w:val="24"/>
          <w:szCs w:val="24"/>
          <w:lang w:val="en-US"/>
        </w:rPr>
      </w:pPr>
      <w:proofErr w:type="spellStart"/>
      <w:r w:rsidRPr="0092458B">
        <w:rPr>
          <w:rFonts w:cstheme="minorHAnsi"/>
          <w:sz w:val="24"/>
          <w:szCs w:val="24"/>
          <w:lang w:val="en-US" w:bidi="en-US"/>
        </w:rPr>
        <w:t>Derndorfer</w:t>
      </w:r>
      <w:proofErr w:type="spellEnd"/>
      <w:r w:rsidRPr="0092458B">
        <w:rPr>
          <w:rFonts w:cstheme="minorHAnsi"/>
          <w:sz w:val="24"/>
          <w:szCs w:val="24"/>
          <w:lang w:val="en-US" w:bidi="en-US"/>
        </w:rPr>
        <w:t xml:space="preserve"> J, Hoffmann R, Theine H (2022) Integrating environmental issues within party manifestos: Exploring trends across European welfare states. In: </w:t>
      </w:r>
      <w:proofErr w:type="spellStart"/>
      <w:r w:rsidRPr="0092458B">
        <w:rPr>
          <w:rFonts w:cstheme="minorHAnsi"/>
          <w:sz w:val="24"/>
          <w:szCs w:val="24"/>
          <w:lang w:val="en-US" w:bidi="en-US"/>
        </w:rPr>
        <w:t>Schoyen</w:t>
      </w:r>
      <w:proofErr w:type="spellEnd"/>
      <w:r w:rsidRPr="0092458B">
        <w:rPr>
          <w:rFonts w:cstheme="minorHAnsi"/>
          <w:sz w:val="24"/>
          <w:szCs w:val="24"/>
          <w:lang w:val="en-US" w:bidi="en-US"/>
        </w:rPr>
        <w:t xml:space="preserve"> M, </w:t>
      </w:r>
      <w:proofErr w:type="spellStart"/>
      <w:r w:rsidRPr="0092458B">
        <w:rPr>
          <w:rFonts w:cstheme="minorHAnsi"/>
          <w:sz w:val="24"/>
          <w:szCs w:val="24"/>
          <w:lang w:val="en-US" w:bidi="en-US"/>
        </w:rPr>
        <w:t>Hvinden</w:t>
      </w:r>
      <w:proofErr w:type="spellEnd"/>
      <w:r w:rsidRPr="0092458B">
        <w:rPr>
          <w:rFonts w:cstheme="minorHAnsi"/>
          <w:sz w:val="24"/>
          <w:szCs w:val="24"/>
          <w:lang w:val="en-US" w:bidi="en-US"/>
        </w:rPr>
        <w:t xml:space="preserve"> B, </w:t>
      </w:r>
      <w:proofErr w:type="spellStart"/>
      <w:r w:rsidRPr="0092458B">
        <w:rPr>
          <w:rFonts w:cstheme="minorHAnsi"/>
          <w:sz w:val="24"/>
          <w:szCs w:val="24"/>
          <w:lang w:val="en-US" w:bidi="en-US"/>
        </w:rPr>
        <w:t>Leiren</w:t>
      </w:r>
      <w:proofErr w:type="spellEnd"/>
      <w:r w:rsidRPr="0092458B">
        <w:rPr>
          <w:rFonts w:cstheme="minorHAnsi"/>
          <w:sz w:val="24"/>
          <w:szCs w:val="24"/>
          <w:lang w:val="en-US" w:bidi="en-US"/>
        </w:rPr>
        <w:t xml:space="preserve"> </w:t>
      </w:r>
      <w:proofErr w:type="gramStart"/>
      <w:r w:rsidRPr="0092458B">
        <w:rPr>
          <w:rFonts w:cstheme="minorHAnsi"/>
          <w:sz w:val="24"/>
          <w:szCs w:val="24"/>
          <w:lang w:val="en-US" w:bidi="en-US"/>
        </w:rPr>
        <w:t>D  (</w:t>
      </w:r>
      <w:proofErr w:type="gramEnd"/>
      <w:r w:rsidRPr="0092458B">
        <w:rPr>
          <w:rFonts w:cstheme="minorHAnsi"/>
          <w:sz w:val="24"/>
          <w:szCs w:val="24"/>
          <w:lang w:val="en-US" w:bidi="en-US"/>
        </w:rPr>
        <w:t>eds.) Towards sustainable welfare states in Europe. Edward Elgar, Cheltenham, p. 80-108.</w:t>
      </w:r>
    </w:p>
    <w:p w14:paraId="5BC9BB1D" w14:textId="77777777" w:rsidR="005727DB" w:rsidRPr="0092458B" w:rsidRDefault="005727DB" w:rsidP="00A640DF">
      <w:pPr>
        <w:spacing w:after="0" w:line="240" w:lineRule="auto"/>
        <w:rPr>
          <w:rFonts w:cstheme="minorHAnsi"/>
          <w:sz w:val="24"/>
          <w:szCs w:val="24"/>
          <w:lang w:val="en-US"/>
        </w:rPr>
      </w:pPr>
    </w:p>
    <w:p w14:paraId="16255190" w14:textId="5FB2CB48" w:rsidR="00EE346B" w:rsidRPr="0092458B" w:rsidRDefault="008F30D8" w:rsidP="00EE346B">
      <w:pPr>
        <w:spacing w:after="0" w:line="240" w:lineRule="auto"/>
        <w:rPr>
          <w:rFonts w:cstheme="minorHAnsi"/>
          <w:sz w:val="24"/>
          <w:szCs w:val="24"/>
          <w:lang w:val="en-US"/>
        </w:rPr>
      </w:pPr>
      <w:r w:rsidRPr="0092458B">
        <w:rPr>
          <w:rFonts w:cstheme="minorHAnsi"/>
          <w:sz w:val="24"/>
          <w:szCs w:val="24"/>
          <w:lang w:val="en-US" w:bidi="en-US"/>
        </w:rPr>
        <w:t xml:space="preserve">Dietz T, Fitzgerald A, </w:t>
      </w:r>
      <w:proofErr w:type="spellStart"/>
      <w:r w:rsidRPr="0092458B">
        <w:rPr>
          <w:rFonts w:cstheme="minorHAnsi"/>
          <w:sz w:val="24"/>
          <w:szCs w:val="24"/>
          <w:lang w:val="en-US" w:bidi="en-US"/>
        </w:rPr>
        <w:t>Shwom</w:t>
      </w:r>
      <w:proofErr w:type="spellEnd"/>
      <w:r w:rsidRPr="0092458B">
        <w:rPr>
          <w:rFonts w:cstheme="minorHAnsi"/>
          <w:sz w:val="24"/>
          <w:szCs w:val="24"/>
          <w:lang w:val="en-US" w:bidi="en-US"/>
        </w:rPr>
        <w:t xml:space="preserve"> R (2005). Environmental values. Annual Review of Environment and Resources 30: 335-372</w:t>
      </w:r>
    </w:p>
    <w:p w14:paraId="0DA47E3E" w14:textId="77777777" w:rsidR="008F30D8" w:rsidRPr="0092458B" w:rsidRDefault="008F30D8" w:rsidP="00EE346B">
      <w:pPr>
        <w:spacing w:after="0" w:line="240" w:lineRule="auto"/>
        <w:rPr>
          <w:rFonts w:cstheme="minorHAnsi"/>
          <w:sz w:val="24"/>
          <w:szCs w:val="24"/>
          <w:lang w:val="en-US"/>
        </w:rPr>
      </w:pPr>
    </w:p>
    <w:p w14:paraId="4A93BAB1" w14:textId="4C6DFD35" w:rsidR="00CA6F70" w:rsidRPr="0092458B" w:rsidRDefault="00CA6F70" w:rsidP="00A640DF">
      <w:pPr>
        <w:spacing w:after="0" w:line="240" w:lineRule="auto"/>
        <w:rPr>
          <w:rFonts w:cstheme="minorHAnsi"/>
          <w:sz w:val="24"/>
          <w:szCs w:val="24"/>
          <w:lang w:val="en-US"/>
        </w:rPr>
      </w:pPr>
      <w:r w:rsidRPr="0092458B">
        <w:rPr>
          <w:rFonts w:cstheme="minorHAnsi"/>
          <w:sz w:val="24"/>
          <w:szCs w:val="24"/>
          <w:lang w:val="en-US" w:bidi="en-US"/>
        </w:rPr>
        <w:t>Drews S, Antal M (2016). Degrowth: A ‘missile word’ that backfires? Ecological Economics 126: 182-187</w:t>
      </w:r>
    </w:p>
    <w:p w14:paraId="46ED5447" w14:textId="77777777" w:rsidR="005727DB" w:rsidRPr="0092458B" w:rsidRDefault="005727DB" w:rsidP="00A640DF">
      <w:pPr>
        <w:spacing w:after="0" w:line="240" w:lineRule="auto"/>
        <w:rPr>
          <w:rFonts w:cstheme="minorHAnsi"/>
          <w:sz w:val="24"/>
          <w:szCs w:val="24"/>
          <w:lang w:val="en-US"/>
        </w:rPr>
      </w:pPr>
    </w:p>
    <w:p w14:paraId="177A5362" w14:textId="691E353D" w:rsidR="00421CA6" w:rsidRPr="0092458B" w:rsidRDefault="004A3690" w:rsidP="00A640DF">
      <w:pPr>
        <w:spacing w:after="0" w:line="240" w:lineRule="auto"/>
        <w:rPr>
          <w:rFonts w:cstheme="minorHAnsi"/>
          <w:sz w:val="24"/>
          <w:szCs w:val="24"/>
          <w:lang w:val="en-US"/>
        </w:rPr>
      </w:pPr>
      <w:r w:rsidRPr="0092458B">
        <w:rPr>
          <w:rFonts w:cstheme="minorHAnsi"/>
          <w:sz w:val="24"/>
          <w:szCs w:val="24"/>
          <w:lang w:val="en-US" w:bidi="en-US"/>
        </w:rPr>
        <w:t>Drews S, van den Bergh, J (2016a) What explains public support for climate policies? A review of empirical and experimental Studies. Climate Policy 16 (7): 855-876</w:t>
      </w:r>
    </w:p>
    <w:p w14:paraId="3B66D51D" w14:textId="77777777" w:rsidR="005727DB" w:rsidRPr="0092458B" w:rsidRDefault="005727DB" w:rsidP="00A640DF">
      <w:pPr>
        <w:spacing w:after="0" w:line="240" w:lineRule="auto"/>
        <w:rPr>
          <w:rFonts w:cstheme="minorHAnsi"/>
          <w:sz w:val="24"/>
          <w:szCs w:val="24"/>
          <w:lang w:val="en-US"/>
        </w:rPr>
      </w:pPr>
    </w:p>
    <w:p w14:paraId="0CE0984D" w14:textId="5E31E68F" w:rsidR="00401828" w:rsidRPr="0092458B" w:rsidRDefault="00401828" w:rsidP="00A640DF">
      <w:pPr>
        <w:spacing w:after="0" w:line="240" w:lineRule="auto"/>
        <w:rPr>
          <w:rFonts w:cstheme="minorHAnsi"/>
          <w:sz w:val="24"/>
          <w:szCs w:val="24"/>
          <w:lang w:val="en-US"/>
        </w:rPr>
      </w:pPr>
      <w:r w:rsidRPr="0092458B">
        <w:rPr>
          <w:rFonts w:cstheme="minorHAnsi"/>
          <w:sz w:val="24"/>
          <w:szCs w:val="24"/>
          <w:lang w:val="en-US" w:bidi="en-US"/>
        </w:rPr>
        <w:t>Drews S, van den Bergh J (2016b) Public views on economic growth, the environment and prosperity: results of a questionnaire survey. Global Environmental Change 39: 1-14</w:t>
      </w:r>
    </w:p>
    <w:p w14:paraId="5E88A05A" w14:textId="77777777" w:rsidR="005727DB" w:rsidRPr="0092458B" w:rsidRDefault="005727DB" w:rsidP="00A640DF">
      <w:pPr>
        <w:spacing w:after="0" w:line="240" w:lineRule="auto"/>
        <w:rPr>
          <w:rFonts w:cstheme="minorHAnsi"/>
          <w:sz w:val="24"/>
          <w:szCs w:val="24"/>
          <w:lang w:val="en-US"/>
        </w:rPr>
      </w:pPr>
    </w:p>
    <w:p w14:paraId="360C3043" w14:textId="42F57B51" w:rsidR="00A13D0E" w:rsidRPr="0092458B" w:rsidRDefault="00A13D0E" w:rsidP="00A640DF">
      <w:pPr>
        <w:spacing w:after="0" w:line="240" w:lineRule="auto"/>
        <w:rPr>
          <w:rFonts w:cstheme="minorHAnsi"/>
          <w:sz w:val="24"/>
          <w:szCs w:val="24"/>
          <w:lang w:val="en-US"/>
        </w:rPr>
      </w:pPr>
      <w:proofErr w:type="spellStart"/>
      <w:r w:rsidRPr="0092458B">
        <w:rPr>
          <w:rFonts w:cstheme="minorHAnsi"/>
          <w:sz w:val="24"/>
          <w:szCs w:val="24"/>
          <w:lang w:val="en-US" w:bidi="en-US"/>
        </w:rPr>
        <w:t>Dryzek</w:t>
      </w:r>
      <w:proofErr w:type="spellEnd"/>
      <w:r w:rsidRPr="0092458B">
        <w:rPr>
          <w:rFonts w:cstheme="minorHAnsi"/>
          <w:sz w:val="24"/>
          <w:szCs w:val="24"/>
          <w:lang w:val="en-US" w:bidi="en-US"/>
        </w:rPr>
        <w:t xml:space="preserve"> J (2008) The ecological crisis of the welfare state. Journal of European Social Policy 18 (4): 334-337</w:t>
      </w:r>
    </w:p>
    <w:p w14:paraId="31791D7A" w14:textId="77777777" w:rsidR="005727DB" w:rsidRPr="0092458B" w:rsidRDefault="005727DB" w:rsidP="00A640DF">
      <w:pPr>
        <w:spacing w:after="0" w:line="240" w:lineRule="auto"/>
        <w:rPr>
          <w:rFonts w:cstheme="minorHAnsi"/>
          <w:sz w:val="24"/>
          <w:szCs w:val="24"/>
          <w:lang w:val="en-US"/>
        </w:rPr>
      </w:pPr>
    </w:p>
    <w:p w14:paraId="78D55CDC" w14:textId="54EA0971" w:rsidR="0038024E" w:rsidRPr="0092458B" w:rsidRDefault="0038024E" w:rsidP="00A640DF">
      <w:pPr>
        <w:spacing w:after="0" w:line="240" w:lineRule="auto"/>
        <w:rPr>
          <w:rFonts w:cstheme="minorHAnsi"/>
          <w:sz w:val="24"/>
          <w:szCs w:val="24"/>
          <w:lang w:val="en-US"/>
        </w:rPr>
      </w:pPr>
      <w:r w:rsidRPr="0092458B">
        <w:rPr>
          <w:rFonts w:cstheme="minorHAnsi"/>
          <w:sz w:val="24"/>
          <w:szCs w:val="24"/>
          <w:lang w:val="en-US" w:bidi="en-US"/>
        </w:rPr>
        <w:t xml:space="preserve">Durand C, </w:t>
      </w:r>
      <w:proofErr w:type="spellStart"/>
      <w:r w:rsidRPr="0092458B">
        <w:rPr>
          <w:rFonts w:cstheme="minorHAnsi"/>
          <w:sz w:val="24"/>
          <w:szCs w:val="24"/>
          <w:lang w:val="en-US" w:bidi="en-US"/>
        </w:rPr>
        <w:t>Hofferberth</w:t>
      </w:r>
      <w:proofErr w:type="spellEnd"/>
      <w:r w:rsidRPr="0092458B">
        <w:rPr>
          <w:rFonts w:cstheme="minorHAnsi"/>
          <w:sz w:val="24"/>
          <w:szCs w:val="24"/>
          <w:lang w:val="en-US" w:bidi="en-US"/>
        </w:rPr>
        <w:t xml:space="preserve"> E, Schmelzer, M (2023) Planning beyond growth. The case for economic democracy within limits. Political economy working papers 1/2023. Department of History, Economics and Society, University of Geneva. </w:t>
      </w:r>
    </w:p>
    <w:p w14:paraId="393C6141" w14:textId="77777777" w:rsidR="005727DB" w:rsidRPr="0092458B" w:rsidRDefault="005727DB" w:rsidP="00A640DF">
      <w:pPr>
        <w:spacing w:after="0" w:line="240" w:lineRule="auto"/>
        <w:rPr>
          <w:rFonts w:cstheme="minorHAnsi"/>
          <w:sz w:val="24"/>
          <w:szCs w:val="24"/>
          <w:lang w:val="en-US"/>
        </w:rPr>
      </w:pPr>
    </w:p>
    <w:p w14:paraId="3C9A18E1" w14:textId="738465A5" w:rsidR="00441D5F" w:rsidRPr="0092458B" w:rsidRDefault="00441D5F" w:rsidP="00A640DF">
      <w:pPr>
        <w:spacing w:after="0" w:line="240" w:lineRule="auto"/>
        <w:rPr>
          <w:rFonts w:cstheme="minorHAnsi"/>
          <w:sz w:val="24"/>
          <w:szCs w:val="24"/>
          <w:lang w:val="en-US"/>
        </w:rPr>
      </w:pPr>
      <w:r w:rsidRPr="0092458B">
        <w:rPr>
          <w:rFonts w:cstheme="minorHAnsi"/>
          <w:sz w:val="24"/>
          <w:szCs w:val="24"/>
          <w:lang w:val="en-US" w:bidi="en-US"/>
        </w:rPr>
        <w:t xml:space="preserve">Emilsson K (2022a) Support for sustainable welfare? A study of public attitudes related to an eco-social agenda among Swedish residents. Dissertation, School of Social Work, Lund University. </w:t>
      </w:r>
    </w:p>
    <w:p w14:paraId="59095B82" w14:textId="77777777" w:rsidR="005727DB" w:rsidRPr="0092458B" w:rsidRDefault="005727DB" w:rsidP="00A640DF">
      <w:pPr>
        <w:spacing w:after="0" w:line="240" w:lineRule="auto"/>
        <w:rPr>
          <w:rFonts w:cstheme="minorHAnsi"/>
          <w:sz w:val="24"/>
          <w:szCs w:val="24"/>
          <w:lang w:val="en-US"/>
        </w:rPr>
      </w:pPr>
    </w:p>
    <w:p w14:paraId="0FB25A3A" w14:textId="69255A62" w:rsidR="00051112" w:rsidRPr="0092458B" w:rsidRDefault="00051112" w:rsidP="00A640DF">
      <w:pPr>
        <w:spacing w:after="0" w:line="240" w:lineRule="auto"/>
        <w:rPr>
          <w:rFonts w:cstheme="minorHAnsi"/>
          <w:sz w:val="24"/>
          <w:szCs w:val="24"/>
          <w:lang w:val="en-US"/>
        </w:rPr>
      </w:pPr>
      <w:r w:rsidRPr="0092458B">
        <w:rPr>
          <w:rFonts w:cstheme="minorHAnsi"/>
          <w:sz w:val="24"/>
          <w:szCs w:val="24"/>
          <w:lang w:val="en-US" w:bidi="en-US"/>
        </w:rPr>
        <w:t>Emilsson, K (2022b). Attitudes towards welfare and environmental policies and concerns: A matter of self-interest, personal capability, or beyond? Journal of European Social Policy 32 (5): 592-606</w:t>
      </w:r>
    </w:p>
    <w:p w14:paraId="7F79544E" w14:textId="77777777" w:rsidR="005727DB" w:rsidRPr="0092458B" w:rsidRDefault="005727DB" w:rsidP="00A640DF">
      <w:pPr>
        <w:spacing w:after="0" w:line="240" w:lineRule="auto"/>
        <w:rPr>
          <w:rFonts w:cstheme="minorHAnsi"/>
          <w:sz w:val="24"/>
          <w:szCs w:val="24"/>
          <w:lang w:val="en-US"/>
        </w:rPr>
      </w:pPr>
    </w:p>
    <w:p w14:paraId="2BFC852C" w14:textId="697B0442" w:rsidR="00F5296C" w:rsidRPr="0092458B" w:rsidRDefault="00F5296C" w:rsidP="00A640DF">
      <w:pPr>
        <w:spacing w:after="0" w:line="240" w:lineRule="auto"/>
        <w:rPr>
          <w:rFonts w:cstheme="minorHAnsi"/>
          <w:sz w:val="24"/>
          <w:szCs w:val="24"/>
          <w:lang w:val="en-US"/>
        </w:rPr>
      </w:pPr>
      <w:r w:rsidRPr="0092458B">
        <w:rPr>
          <w:rFonts w:cstheme="minorHAnsi"/>
          <w:sz w:val="24"/>
          <w:szCs w:val="24"/>
          <w:lang w:val="en-US" w:bidi="en-US"/>
        </w:rPr>
        <w:t>Esping-Andersen G (1990) The three worlds of welfare capitalism. Princeton: Princeton University Press</w:t>
      </w:r>
    </w:p>
    <w:p w14:paraId="28BCB7C6" w14:textId="77777777" w:rsidR="00F5296C" w:rsidRPr="0092458B" w:rsidRDefault="00F5296C" w:rsidP="00A640DF">
      <w:pPr>
        <w:spacing w:after="0" w:line="240" w:lineRule="auto"/>
        <w:rPr>
          <w:rFonts w:cstheme="minorHAnsi"/>
          <w:sz w:val="24"/>
          <w:szCs w:val="24"/>
          <w:lang w:val="en-US"/>
        </w:rPr>
      </w:pPr>
    </w:p>
    <w:p w14:paraId="1E31EC3E" w14:textId="38944A8B" w:rsidR="00C229D3" w:rsidRPr="0092458B" w:rsidRDefault="00C229D3" w:rsidP="00A640DF">
      <w:pPr>
        <w:spacing w:after="0" w:line="240" w:lineRule="auto"/>
        <w:rPr>
          <w:rFonts w:cstheme="minorHAnsi"/>
          <w:sz w:val="24"/>
          <w:szCs w:val="24"/>
          <w:lang w:val="en-US"/>
        </w:rPr>
      </w:pPr>
      <w:r w:rsidRPr="0092458B">
        <w:rPr>
          <w:rFonts w:cstheme="minorHAnsi"/>
          <w:sz w:val="24"/>
          <w:szCs w:val="24"/>
          <w:lang w:val="en-US" w:bidi="en-US"/>
        </w:rPr>
        <w:t xml:space="preserve">European Environment Agency (2021). Reflecting on green growth. Creating a resilient economy within environmental limits. European Environment Agency, Copenhagen. </w:t>
      </w:r>
    </w:p>
    <w:p w14:paraId="1B2D83AF" w14:textId="77777777" w:rsidR="005727DB" w:rsidRPr="0092458B" w:rsidRDefault="005727DB" w:rsidP="00A640DF">
      <w:pPr>
        <w:spacing w:after="0" w:line="240" w:lineRule="auto"/>
        <w:rPr>
          <w:rFonts w:cstheme="minorHAnsi"/>
          <w:sz w:val="24"/>
          <w:szCs w:val="24"/>
          <w:lang w:val="en-US"/>
        </w:rPr>
      </w:pPr>
    </w:p>
    <w:p w14:paraId="284B872B" w14:textId="50BA6E7D" w:rsidR="00D53125" w:rsidRPr="0092458B" w:rsidRDefault="00D53125" w:rsidP="00A640DF">
      <w:pPr>
        <w:spacing w:after="0" w:line="240" w:lineRule="auto"/>
        <w:rPr>
          <w:rFonts w:cstheme="minorHAnsi"/>
          <w:sz w:val="24"/>
          <w:szCs w:val="24"/>
          <w:lang w:val="en-US"/>
        </w:rPr>
      </w:pPr>
      <w:r w:rsidRPr="0092458B">
        <w:rPr>
          <w:rFonts w:cstheme="minorHAnsi"/>
          <w:sz w:val="24"/>
          <w:szCs w:val="24"/>
          <w:lang w:val="en-US" w:bidi="en-US"/>
        </w:rPr>
        <w:t>Fanning A, O’Neill D, Hickel J, Roux N (2021) The social shortfall and ecological overshoot of nations. Nature Sustainability 5: 26-36</w:t>
      </w:r>
    </w:p>
    <w:p w14:paraId="77F5BC6C" w14:textId="77777777" w:rsidR="005727DB" w:rsidRPr="0092458B" w:rsidRDefault="005727DB" w:rsidP="00A640DF">
      <w:pPr>
        <w:spacing w:after="0" w:line="240" w:lineRule="auto"/>
        <w:rPr>
          <w:rFonts w:cstheme="minorHAnsi"/>
          <w:sz w:val="24"/>
          <w:szCs w:val="24"/>
          <w:lang w:val="en-US"/>
        </w:rPr>
      </w:pPr>
    </w:p>
    <w:p w14:paraId="011632D8" w14:textId="3773FE76" w:rsidR="00566237" w:rsidRPr="0092458B" w:rsidRDefault="00566237" w:rsidP="00A640DF">
      <w:pPr>
        <w:spacing w:after="0" w:line="240" w:lineRule="auto"/>
        <w:rPr>
          <w:rFonts w:cstheme="minorHAnsi"/>
          <w:sz w:val="24"/>
          <w:szCs w:val="24"/>
          <w:lang w:val="en-US"/>
        </w:rPr>
      </w:pPr>
      <w:r w:rsidRPr="0092458B">
        <w:rPr>
          <w:rFonts w:cstheme="minorHAnsi"/>
          <w:sz w:val="24"/>
          <w:szCs w:val="24"/>
          <w:lang w:val="en-US" w:bidi="en-US"/>
        </w:rPr>
        <w:t xml:space="preserve">Finnegan J (2022) Institutions, climate change, and the foundations of long-term policymaking. Comparative Political Studies 55 (7): 1198-1235. </w:t>
      </w:r>
    </w:p>
    <w:p w14:paraId="64F68376" w14:textId="77777777" w:rsidR="005727DB" w:rsidRPr="0092458B" w:rsidRDefault="005727DB" w:rsidP="00A640DF">
      <w:pPr>
        <w:spacing w:after="0" w:line="240" w:lineRule="auto"/>
        <w:rPr>
          <w:rFonts w:cstheme="minorHAnsi"/>
          <w:sz w:val="24"/>
          <w:szCs w:val="24"/>
          <w:lang w:val="en-US"/>
        </w:rPr>
      </w:pPr>
    </w:p>
    <w:p w14:paraId="08B00F38" w14:textId="77777777" w:rsidR="00DD33BA" w:rsidRDefault="00DD33BA" w:rsidP="00DD33BA">
      <w:pPr>
        <w:spacing w:after="0" w:line="240" w:lineRule="auto"/>
        <w:rPr>
          <w:rFonts w:cstheme="minorHAnsi"/>
          <w:sz w:val="24"/>
          <w:szCs w:val="24"/>
          <w:lang w:val="en-US" w:bidi="en-US"/>
        </w:rPr>
      </w:pPr>
      <w:r>
        <w:rPr>
          <w:rFonts w:cstheme="minorHAnsi"/>
          <w:sz w:val="24"/>
          <w:szCs w:val="24"/>
          <w:lang w:val="en-US" w:bidi="en-US"/>
        </w:rPr>
        <w:lastRenderedPageBreak/>
        <w:t xml:space="preserve">Fioramonti L, </w:t>
      </w:r>
      <w:proofErr w:type="spellStart"/>
      <w:r>
        <w:rPr>
          <w:rFonts w:cstheme="minorHAnsi"/>
          <w:sz w:val="24"/>
          <w:szCs w:val="24"/>
          <w:lang w:val="en-US" w:bidi="en-US"/>
        </w:rPr>
        <w:t>Coscieme</w:t>
      </w:r>
      <w:proofErr w:type="spellEnd"/>
      <w:r>
        <w:rPr>
          <w:rFonts w:cstheme="minorHAnsi"/>
          <w:sz w:val="24"/>
          <w:szCs w:val="24"/>
          <w:lang w:val="en-US" w:bidi="en-US"/>
        </w:rPr>
        <w:t xml:space="preserve"> L, Costanza R, Kubiszewski I, </w:t>
      </w:r>
      <w:proofErr w:type="spellStart"/>
      <w:r>
        <w:rPr>
          <w:rFonts w:cstheme="minorHAnsi"/>
          <w:sz w:val="24"/>
          <w:szCs w:val="24"/>
          <w:lang w:val="en-US" w:bidi="en-US"/>
        </w:rPr>
        <w:t>Trebeck</w:t>
      </w:r>
      <w:proofErr w:type="spellEnd"/>
      <w:r>
        <w:rPr>
          <w:rFonts w:cstheme="minorHAnsi"/>
          <w:sz w:val="24"/>
          <w:szCs w:val="24"/>
          <w:lang w:val="en-US" w:bidi="en-US"/>
        </w:rPr>
        <w:t xml:space="preserve"> K, Wallis S, Roberts D, Mortensen L, Pickett K, Wilkinson R, Ragnarsdottir V, McGlade J, Lovins H, De Vogli R (2022) Wellbeing economy: An effective paradigm to mainstream post-growth policies? Ecological Economics 192: 1-8</w:t>
      </w:r>
    </w:p>
    <w:p w14:paraId="65CC6229" w14:textId="77777777" w:rsidR="00DD33BA" w:rsidRDefault="00DD33BA" w:rsidP="00A640DF">
      <w:pPr>
        <w:spacing w:after="0" w:line="240" w:lineRule="auto"/>
        <w:rPr>
          <w:rFonts w:cstheme="minorHAnsi"/>
          <w:sz w:val="24"/>
          <w:szCs w:val="24"/>
          <w:lang w:val="en-US" w:bidi="en-US"/>
        </w:rPr>
      </w:pPr>
    </w:p>
    <w:p w14:paraId="58853112" w14:textId="6AF22042" w:rsidR="00CA1349" w:rsidRPr="0092458B" w:rsidRDefault="00CA1349" w:rsidP="00A640DF">
      <w:pPr>
        <w:spacing w:after="0" w:line="240" w:lineRule="auto"/>
        <w:rPr>
          <w:rFonts w:cstheme="minorHAnsi"/>
          <w:sz w:val="24"/>
          <w:szCs w:val="24"/>
          <w:lang w:val="en-US"/>
        </w:rPr>
      </w:pPr>
      <w:r w:rsidRPr="0092458B">
        <w:rPr>
          <w:rFonts w:cstheme="minorHAnsi"/>
          <w:sz w:val="24"/>
          <w:szCs w:val="24"/>
          <w:lang w:val="en-US" w:bidi="en-US"/>
        </w:rPr>
        <w:t xml:space="preserve">Fitzpatrick N, </w:t>
      </w:r>
      <w:proofErr w:type="spellStart"/>
      <w:r w:rsidRPr="0092458B">
        <w:rPr>
          <w:rFonts w:cstheme="minorHAnsi"/>
          <w:sz w:val="24"/>
          <w:szCs w:val="24"/>
          <w:lang w:val="en-US" w:bidi="en-US"/>
        </w:rPr>
        <w:t>Parrique</w:t>
      </w:r>
      <w:proofErr w:type="spellEnd"/>
      <w:r w:rsidRPr="0092458B">
        <w:rPr>
          <w:rFonts w:cstheme="minorHAnsi"/>
          <w:sz w:val="24"/>
          <w:szCs w:val="24"/>
          <w:lang w:val="en-US" w:bidi="en-US"/>
        </w:rPr>
        <w:t xml:space="preserve"> T, Cosme I (2022). Exploring degrowth policy proposals: A systematic mapping with thematic </w:t>
      </w:r>
      <w:proofErr w:type="spellStart"/>
      <w:r w:rsidRPr="0092458B">
        <w:rPr>
          <w:rFonts w:cstheme="minorHAnsi"/>
          <w:sz w:val="24"/>
          <w:szCs w:val="24"/>
          <w:lang w:val="en-US" w:bidi="en-US"/>
        </w:rPr>
        <w:t>dynthesis</w:t>
      </w:r>
      <w:proofErr w:type="spellEnd"/>
      <w:r w:rsidRPr="0092458B">
        <w:rPr>
          <w:rFonts w:cstheme="minorHAnsi"/>
          <w:sz w:val="24"/>
          <w:szCs w:val="24"/>
          <w:lang w:val="en-US" w:bidi="en-US"/>
        </w:rPr>
        <w:t>. Journal of Cleaner Production 365: 1-19</w:t>
      </w:r>
    </w:p>
    <w:p w14:paraId="7EF455E3" w14:textId="77777777" w:rsidR="005727DB" w:rsidRPr="0092458B" w:rsidRDefault="005727DB" w:rsidP="00A640DF">
      <w:pPr>
        <w:spacing w:after="0" w:line="240" w:lineRule="auto"/>
        <w:rPr>
          <w:rFonts w:cstheme="minorHAnsi"/>
          <w:sz w:val="24"/>
          <w:szCs w:val="24"/>
          <w:lang w:val="en-US"/>
        </w:rPr>
      </w:pPr>
    </w:p>
    <w:p w14:paraId="0D6906C2" w14:textId="5E64DC99" w:rsidR="009E7052" w:rsidRPr="0092458B" w:rsidRDefault="009E7052" w:rsidP="00A640DF">
      <w:pPr>
        <w:spacing w:after="0" w:line="240" w:lineRule="auto"/>
        <w:rPr>
          <w:rFonts w:cstheme="minorHAnsi"/>
          <w:sz w:val="24"/>
          <w:szCs w:val="24"/>
          <w:lang w:val="en-US"/>
        </w:rPr>
      </w:pPr>
      <w:r w:rsidRPr="0092458B">
        <w:rPr>
          <w:rFonts w:cstheme="minorHAnsi"/>
          <w:sz w:val="24"/>
          <w:szCs w:val="24"/>
          <w:lang w:val="en-US" w:bidi="en-US"/>
        </w:rPr>
        <w:t>Fritz M, Koch M (2016) Economic development and prosperity patterns around the world: structural challenges for a global steady-state economy. Global Environmental Change 38: 41-48</w:t>
      </w:r>
    </w:p>
    <w:p w14:paraId="72BA83EC" w14:textId="77777777" w:rsidR="005727DB" w:rsidRPr="0092458B" w:rsidRDefault="005727DB" w:rsidP="00A640DF">
      <w:pPr>
        <w:spacing w:after="0" w:line="240" w:lineRule="auto"/>
        <w:rPr>
          <w:rFonts w:cstheme="minorHAnsi"/>
          <w:sz w:val="24"/>
          <w:szCs w:val="24"/>
          <w:lang w:val="en-US"/>
        </w:rPr>
      </w:pPr>
    </w:p>
    <w:p w14:paraId="7E3FFBE1" w14:textId="4FF12F90" w:rsidR="00E15F38" w:rsidRPr="0092458B" w:rsidRDefault="00E15F38" w:rsidP="00A640DF">
      <w:pPr>
        <w:spacing w:after="0" w:line="240" w:lineRule="auto"/>
        <w:rPr>
          <w:rFonts w:cstheme="minorHAnsi"/>
          <w:sz w:val="24"/>
          <w:szCs w:val="24"/>
          <w:lang w:val="en-US"/>
        </w:rPr>
      </w:pPr>
      <w:r w:rsidRPr="0092458B">
        <w:rPr>
          <w:rFonts w:cstheme="minorHAnsi"/>
          <w:sz w:val="24"/>
          <w:szCs w:val="24"/>
          <w:lang w:val="en-US" w:bidi="en-US"/>
        </w:rPr>
        <w:t>Fritz M, Koch, M (2019) Public support for sustainable welfare compared: Links between attitudes towards climate and welfare policies. Sustainability 11 (5): 1-15</w:t>
      </w:r>
    </w:p>
    <w:p w14:paraId="6B88C980" w14:textId="77777777" w:rsidR="005727DB" w:rsidRPr="0092458B" w:rsidRDefault="005727DB" w:rsidP="00A640DF">
      <w:pPr>
        <w:spacing w:after="0" w:line="240" w:lineRule="auto"/>
        <w:rPr>
          <w:rFonts w:cstheme="minorHAnsi"/>
          <w:sz w:val="24"/>
          <w:szCs w:val="24"/>
          <w:lang w:val="en-US"/>
        </w:rPr>
      </w:pPr>
    </w:p>
    <w:p w14:paraId="28875872" w14:textId="6B71103C" w:rsidR="008C3A2A" w:rsidRPr="0092458B" w:rsidRDefault="008C3A2A" w:rsidP="00A640DF">
      <w:pPr>
        <w:spacing w:after="0" w:line="240" w:lineRule="auto"/>
        <w:rPr>
          <w:rFonts w:cstheme="minorHAnsi"/>
          <w:sz w:val="24"/>
          <w:szCs w:val="24"/>
          <w:lang w:val="en-US"/>
        </w:rPr>
      </w:pPr>
      <w:r w:rsidRPr="0092458B">
        <w:rPr>
          <w:rFonts w:cstheme="minorHAnsi"/>
          <w:sz w:val="24"/>
          <w:szCs w:val="24"/>
          <w:lang w:val="en-US" w:bidi="en-US"/>
        </w:rPr>
        <w:t>Gaikwad N, Genovese F, Tingley D (2022) Creating climate coalitions: Mass preferences for compensating vulnerability in the world’s two largest democracies. American Political Science Review 116 (4): 1165-1183</w:t>
      </w:r>
    </w:p>
    <w:p w14:paraId="6602BEE8" w14:textId="77777777" w:rsidR="005727DB" w:rsidRPr="0092458B" w:rsidRDefault="005727DB" w:rsidP="00A640DF">
      <w:pPr>
        <w:spacing w:after="0" w:line="240" w:lineRule="auto"/>
        <w:rPr>
          <w:rFonts w:cstheme="minorHAnsi"/>
          <w:sz w:val="24"/>
          <w:szCs w:val="24"/>
          <w:lang w:val="en-US"/>
        </w:rPr>
      </w:pPr>
    </w:p>
    <w:p w14:paraId="029357D9" w14:textId="3BBD3E10" w:rsidR="00BD001F" w:rsidRPr="0092458B" w:rsidRDefault="00BD001F" w:rsidP="00A640DF">
      <w:pPr>
        <w:spacing w:after="0" w:line="240" w:lineRule="auto"/>
        <w:rPr>
          <w:rFonts w:cstheme="minorHAnsi"/>
          <w:sz w:val="24"/>
          <w:szCs w:val="24"/>
          <w:lang w:val="en-US"/>
        </w:rPr>
      </w:pPr>
      <w:r w:rsidRPr="0092458B">
        <w:rPr>
          <w:rFonts w:cstheme="minorHAnsi"/>
          <w:sz w:val="24"/>
          <w:szCs w:val="24"/>
          <w:lang w:val="en-US" w:bidi="en-US"/>
        </w:rPr>
        <w:t>Garcia-Garcia P, Buendia L, Carpintero O (2022) Welfare regimes as enablers of just energy transitions: Revisiting and testing the hypothesis of synergy for Europe. Ecological Economics 197: 1-14</w:t>
      </w:r>
    </w:p>
    <w:p w14:paraId="5657D045" w14:textId="77777777" w:rsidR="005727DB" w:rsidRPr="0092458B" w:rsidRDefault="005727DB" w:rsidP="00A640DF">
      <w:pPr>
        <w:spacing w:after="0" w:line="240" w:lineRule="auto"/>
        <w:rPr>
          <w:rFonts w:cstheme="minorHAnsi"/>
          <w:sz w:val="24"/>
          <w:szCs w:val="24"/>
          <w:lang w:val="en-US"/>
        </w:rPr>
      </w:pPr>
    </w:p>
    <w:p w14:paraId="4C557038" w14:textId="43FCDA84" w:rsidR="0056016E" w:rsidRPr="0092458B" w:rsidRDefault="0056016E" w:rsidP="00A640DF">
      <w:pPr>
        <w:spacing w:after="0" w:line="240" w:lineRule="auto"/>
        <w:rPr>
          <w:rFonts w:cstheme="minorHAnsi"/>
          <w:sz w:val="24"/>
          <w:szCs w:val="24"/>
          <w:lang w:val="en-US"/>
        </w:rPr>
      </w:pPr>
      <w:r w:rsidRPr="0092458B">
        <w:rPr>
          <w:rFonts w:cstheme="minorHAnsi"/>
          <w:sz w:val="24"/>
          <w:szCs w:val="24"/>
          <w:lang w:val="en-US" w:bidi="en-US"/>
        </w:rPr>
        <w:t>Gore T (2021) Carbon inequality in 2030. Per capita consumption emissions and the 1.5</w:t>
      </w:r>
      <w:r w:rsidRPr="0092458B">
        <w:rPr>
          <w:rFonts w:cstheme="minorHAnsi"/>
          <w:sz w:val="24"/>
          <w:szCs w:val="24"/>
          <w:vertAlign w:val="superscript"/>
          <w:lang w:val="en-US" w:bidi="en-US"/>
        </w:rPr>
        <w:t>o</w:t>
      </w:r>
      <w:r w:rsidRPr="0092458B">
        <w:rPr>
          <w:rFonts w:cstheme="minorHAnsi"/>
          <w:sz w:val="24"/>
          <w:szCs w:val="24"/>
          <w:lang w:val="en-US" w:bidi="en-US"/>
        </w:rPr>
        <w:t xml:space="preserve"> Goal. Oxfam, Oxford</w:t>
      </w:r>
    </w:p>
    <w:p w14:paraId="24889398" w14:textId="77777777" w:rsidR="005727DB" w:rsidRPr="0092458B" w:rsidRDefault="005727DB" w:rsidP="00A640DF">
      <w:pPr>
        <w:spacing w:after="0" w:line="240" w:lineRule="auto"/>
        <w:rPr>
          <w:rFonts w:cstheme="minorHAnsi"/>
          <w:sz w:val="24"/>
          <w:szCs w:val="24"/>
          <w:lang w:val="en-US"/>
        </w:rPr>
      </w:pPr>
    </w:p>
    <w:p w14:paraId="1DBC5B0D" w14:textId="591F6593" w:rsidR="005578DE" w:rsidRPr="0092458B" w:rsidRDefault="005578DE" w:rsidP="00A640DF">
      <w:pPr>
        <w:spacing w:after="0" w:line="240" w:lineRule="auto"/>
        <w:rPr>
          <w:rFonts w:cstheme="minorHAnsi"/>
          <w:sz w:val="24"/>
          <w:szCs w:val="24"/>
          <w:lang w:val="en-US"/>
        </w:rPr>
      </w:pPr>
      <w:r w:rsidRPr="0092458B">
        <w:rPr>
          <w:rFonts w:cstheme="minorHAnsi"/>
          <w:sz w:val="24"/>
          <w:szCs w:val="24"/>
          <w:lang w:val="en-US" w:bidi="en-US"/>
        </w:rPr>
        <w:t xml:space="preserve">Gorz A (1994) Capitalism, Socialism, Ecology. Verso, London.  </w:t>
      </w:r>
    </w:p>
    <w:p w14:paraId="1222FC21" w14:textId="77777777" w:rsidR="005727DB" w:rsidRPr="0092458B" w:rsidRDefault="005727DB" w:rsidP="00A640DF">
      <w:pPr>
        <w:spacing w:after="0" w:line="240" w:lineRule="auto"/>
        <w:rPr>
          <w:rFonts w:cstheme="minorHAnsi"/>
          <w:sz w:val="24"/>
          <w:szCs w:val="24"/>
          <w:lang w:val="en-US"/>
        </w:rPr>
      </w:pPr>
    </w:p>
    <w:p w14:paraId="30845D21" w14:textId="3673C395" w:rsidR="0056016E" w:rsidRPr="0092458B" w:rsidRDefault="0056016E" w:rsidP="00A640DF">
      <w:pPr>
        <w:spacing w:after="0" w:line="240" w:lineRule="auto"/>
        <w:rPr>
          <w:rFonts w:cstheme="minorHAnsi"/>
          <w:sz w:val="24"/>
          <w:szCs w:val="24"/>
          <w:lang w:val="en-US"/>
        </w:rPr>
      </w:pPr>
      <w:r w:rsidRPr="0092458B">
        <w:rPr>
          <w:rFonts w:cstheme="minorHAnsi"/>
          <w:sz w:val="24"/>
          <w:szCs w:val="24"/>
          <w:lang w:val="en-US" w:bidi="en-US"/>
        </w:rPr>
        <w:t>Gough, I (2022) Two scenarios for sustainable welfare: A framework for an eco-social contract. Social Policy and Society 22 (3): 460-472</w:t>
      </w:r>
    </w:p>
    <w:p w14:paraId="0A45AB2C" w14:textId="77777777" w:rsidR="005727DB" w:rsidRPr="0092458B" w:rsidRDefault="005727DB" w:rsidP="00A640DF">
      <w:pPr>
        <w:autoSpaceDE w:val="0"/>
        <w:autoSpaceDN w:val="0"/>
        <w:adjustRightInd w:val="0"/>
        <w:spacing w:after="0" w:line="240" w:lineRule="auto"/>
        <w:rPr>
          <w:rFonts w:cstheme="minorHAnsi"/>
          <w:sz w:val="24"/>
          <w:szCs w:val="24"/>
          <w:lang w:val="en-US"/>
        </w:rPr>
      </w:pPr>
    </w:p>
    <w:p w14:paraId="55F0398D" w14:textId="1E219B0B" w:rsidR="006A4F70" w:rsidRPr="0092458B" w:rsidRDefault="00400BE9"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 xml:space="preserve">Gugushvili D (2021) Public attitudes toward economic growth versus environmental sustainability dilemma: Evidence from Europe. International Journal of Comparative Sociology 62 (3): 224-240. </w:t>
      </w:r>
    </w:p>
    <w:p w14:paraId="1F7E32F2" w14:textId="77777777" w:rsidR="008E403C" w:rsidRPr="0092458B" w:rsidRDefault="008E403C" w:rsidP="00A640DF">
      <w:pPr>
        <w:spacing w:after="0" w:line="240" w:lineRule="auto"/>
        <w:rPr>
          <w:rFonts w:cstheme="minorHAnsi"/>
          <w:sz w:val="24"/>
          <w:szCs w:val="24"/>
          <w:lang w:val="en-US"/>
        </w:rPr>
      </w:pPr>
    </w:p>
    <w:p w14:paraId="4F93A561" w14:textId="2AC6963C" w:rsidR="008E403C" w:rsidRPr="0092458B" w:rsidRDefault="008E403C" w:rsidP="00A640DF">
      <w:pPr>
        <w:spacing w:after="0" w:line="240" w:lineRule="auto"/>
        <w:rPr>
          <w:rFonts w:cstheme="minorHAnsi"/>
          <w:sz w:val="24"/>
          <w:szCs w:val="24"/>
          <w:lang w:val="en-US"/>
        </w:rPr>
      </w:pPr>
      <w:r w:rsidRPr="0092458B">
        <w:rPr>
          <w:rFonts w:cstheme="minorHAnsi"/>
          <w:sz w:val="24"/>
          <w:szCs w:val="24"/>
          <w:lang w:val="en-US" w:bidi="en-US"/>
        </w:rPr>
        <w:t xml:space="preserve">Haberl H, Fischer-Kowalski M, Krausmann F, Martines-Alier J, </w:t>
      </w:r>
      <w:proofErr w:type="spellStart"/>
      <w:r w:rsidRPr="0092458B">
        <w:rPr>
          <w:rFonts w:cstheme="minorHAnsi"/>
          <w:sz w:val="24"/>
          <w:szCs w:val="24"/>
          <w:lang w:val="en-US" w:bidi="en-US"/>
        </w:rPr>
        <w:t>Winiwarter</w:t>
      </w:r>
      <w:proofErr w:type="spellEnd"/>
      <w:r w:rsidRPr="0092458B">
        <w:rPr>
          <w:rFonts w:cstheme="minorHAnsi"/>
          <w:sz w:val="24"/>
          <w:szCs w:val="24"/>
          <w:lang w:val="en-US" w:bidi="en-US"/>
        </w:rPr>
        <w:t xml:space="preserve"> V (2011) A socio-metabolic transition towards sustainability? Challenges for another great transformation. Sustainable Development 19 (1): 1-14</w:t>
      </w:r>
    </w:p>
    <w:p w14:paraId="33B3B5D8" w14:textId="77777777" w:rsidR="005727DB" w:rsidRPr="0092458B" w:rsidRDefault="005727DB" w:rsidP="00A640DF">
      <w:pPr>
        <w:spacing w:after="0" w:line="240" w:lineRule="auto"/>
        <w:rPr>
          <w:rFonts w:cstheme="minorHAnsi"/>
          <w:sz w:val="24"/>
          <w:szCs w:val="24"/>
          <w:lang w:val="en-US"/>
        </w:rPr>
      </w:pPr>
    </w:p>
    <w:p w14:paraId="67CAB703" w14:textId="77EBFF72" w:rsidR="00F055AF" w:rsidRPr="0092458B" w:rsidRDefault="00F055AF" w:rsidP="00A640DF">
      <w:pPr>
        <w:spacing w:after="0" w:line="240" w:lineRule="auto"/>
        <w:rPr>
          <w:rFonts w:cstheme="minorHAnsi"/>
          <w:sz w:val="24"/>
          <w:szCs w:val="24"/>
          <w:lang w:val="en-US"/>
        </w:rPr>
      </w:pPr>
      <w:r w:rsidRPr="0092458B">
        <w:rPr>
          <w:rFonts w:cstheme="minorHAnsi"/>
          <w:sz w:val="24"/>
          <w:szCs w:val="24"/>
          <w:lang w:val="en-US" w:bidi="en-US"/>
        </w:rPr>
        <w:t xml:space="preserve">Haberl H, </w:t>
      </w:r>
      <w:proofErr w:type="spellStart"/>
      <w:r w:rsidRPr="0092458B">
        <w:rPr>
          <w:rFonts w:cstheme="minorHAnsi"/>
          <w:sz w:val="24"/>
          <w:szCs w:val="24"/>
          <w:lang w:val="en-US" w:bidi="en-US"/>
        </w:rPr>
        <w:t>Wiedenhofer</w:t>
      </w:r>
      <w:proofErr w:type="spellEnd"/>
      <w:r w:rsidRPr="0092458B">
        <w:rPr>
          <w:rFonts w:cstheme="minorHAnsi"/>
          <w:sz w:val="24"/>
          <w:szCs w:val="24"/>
          <w:lang w:val="en-US" w:bidi="en-US"/>
        </w:rPr>
        <w:t xml:space="preserve"> D, Virág D, Doris K, Kalt G, Plank B, Brockway P, Fishman T, </w:t>
      </w:r>
      <w:proofErr w:type="spellStart"/>
      <w:r w:rsidRPr="0092458B">
        <w:rPr>
          <w:rFonts w:cstheme="minorHAnsi"/>
          <w:sz w:val="24"/>
          <w:szCs w:val="24"/>
          <w:lang w:val="en-US" w:bidi="en-US"/>
        </w:rPr>
        <w:t>Hausknos</w:t>
      </w:r>
      <w:proofErr w:type="spellEnd"/>
      <w:r w:rsidRPr="0092458B">
        <w:rPr>
          <w:rFonts w:cstheme="minorHAnsi"/>
          <w:sz w:val="24"/>
          <w:szCs w:val="24"/>
          <w:lang w:val="en-US" w:bidi="en-US"/>
        </w:rPr>
        <w:t xml:space="preserve"> </w:t>
      </w:r>
      <w:proofErr w:type="gramStart"/>
      <w:r w:rsidRPr="0092458B">
        <w:rPr>
          <w:rFonts w:cstheme="minorHAnsi"/>
          <w:sz w:val="24"/>
          <w:szCs w:val="24"/>
          <w:lang w:val="en-US" w:bidi="en-US"/>
        </w:rPr>
        <w:t>D,  Krausmann</w:t>
      </w:r>
      <w:proofErr w:type="gramEnd"/>
      <w:r w:rsidRPr="0092458B">
        <w:rPr>
          <w:rFonts w:cstheme="minorHAnsi"/>
          <w:sz w:val="24"/>
          <w:szCs w:val="24"/>
          <w:lang w:val="en-US" w:bidi="en-US"/>
        </w:rPr>
        <w:t xml:space="preserve"> F, Leon-</w:t>
      </w:r>
      <w:proofErr w:type="spellStart"/>
      <w:r w:rsidRPr="0092458B">
        <w:rPr>
          <w:rFonts w:cstheme="minorHAnsi"/>
          <w:sz w:val="24"/>
          <w:szCs w:val="24"/>
          <w:lang w:val="en-US" w:bidi="en-US"/>
        </w:rPr>
        <w:t>Gruchalski</w:t>
      </w:r>
      <w:proofErr w:type="spellEnd"/>
      <w:r w:rsidRPr="0092458B">
        <w:rPr>
          <w:rFonts w:cstheme="minorHAnsi"/>
          <w:sz w:val="24"/>
          <w:szCs w:val="24"/>
          <w:lang w:val="en-US" w:bidi="en-US"/>
        </w:rPr>
        <w:t xml:space="preserve"> B, Mayer A, Pichler M, </w:t>
      </w:r>
      <w:proofErr w:type="spellStart"/>
      <w:r w:rsidRPr="0092458B">
        <w:rPr>
          <w:rFonts w:cstheme="minorHAnsi"/>
          <w:sz w:val="24"/>
          <w:szCs w:val="24"/>
          <w:lang w:val="en-US" w:bidi="en-US"/>
        </w:rPr>
        <w:t>Schaffartzik</w:t>
      </w:r>
      <w:proofErr w:type="spellEnd"/>
      <w:r w:rsidRPr="0092458B">
        <w:rPr>
          <w:rFonts w:cstheme="minorHAnsi"/>
          <w:sz w:val="24"/>
          <w:szCs w:val="24"/>
          <w:lang w:val="en-US" w:bidi="en-US"/>
        </w:rPr>
        <w:t xml:space="preserve"> A, Sousa T, </w:t>
      </w:r>
      <w:proofErr w:type="spellStart"/>
      <w:r w:rsidRPr="0092458B">
        <w:rPr>
          <w:rFonts w:cstheme="minorHAnsi"/>
          <w:sz w:val="24"/>
          <w:szCs w:val="24"/>
          <w:lang w:val="en-US" w:bidi="en-US"/>
        </w:rPr>
        <w:t>Streeck</w:t>
      </w:r>
      <w:proofErr w:type="spellEnd"/>
      <w:r w:rsidRPr="0092458B">
        <w:rPr>
          <w:rFonts w:cstheme="minorHAnsi"/>
          <w:sz w:val="24"/>
          <w:szCs w:val="24"/>
          <w:lang w:val="en-US" w:bidi="en-US"/>
        </w:rPr>
        <w:t xml:space="preserve"> J, </w:t>
      </w:r>
      <w:proofErr w:type="spellStart"/>
      <w:r w:rsidRPr="0092458B">
        <w:rPr>
          <w:rFonts w:cstheme="minorHAnsi"/>
          <w:sz w:val="24"/>
          <w:szCs w:val="24"/>
          <w:lang w:val="en-US" w:bidi="en-US"/>
        </w:rPr>
        <w:t>Creutzig</w:t>
      </w:r>
      <w:proofErr w:type="spellEnd"/>
      <w:r w:rsidRPr="0092458B">
        <w:rPr>
          <w:rFonts w:cstheme="minorHAnsi"/>
          <w:sz w:val="24"/>
          <w:szCs w:val="24"/>
          <w:lang w:val="en-US" w:bidi="en-US"/>
        </w:rPr>
        <w:t xml:space="preserve"> F (2020) A systematic review of the evidence on decoupling of GDP, resource use and GHG emissions, part II: Synthesizing the insights. Environmental Research Letters 15 (6): 1-42 </w:t>
      </w:r>
    </w:p>
    <w:p w14:paraId="1B8A606A" w14:textId="77777777" w:rsidR="005727DB" w:rsidRPr="0092458B" w:rsidRDefault="005727DB" w:rsidP="00A640DF">
      <w:pPr>
        <w:spacing w:after="0" w:line="240" w:lineRule="auto"/>
        <w:rPr>
          <w:rFonts w:cstheme="minorHAnsi"/>
          <w:sz w:val="24"/>
          <w:szCs w:val="24"/>
          <w:lang w:val="en-US"/>
        </w:rPr>
      </w:pPr>
    </w:p>
    <w:p w14:paraId="1A2BB78B" w14:textId="6BA7B2FC" w:rsidR="008E403C" w:rsidRPr="0092458B" w:rsidRDefault="008E403C" w:rsidP="00A640DF">
      <w:pPr>
        <w:spacing w:after="0" w:line="240" w:lineRule="auto"/>
        <w:rPr>
          <w:rFonts w:cstheme="minorHAnsi"/>
          <w:sz w:val="24"/>
          <w:szCs w:val="24"/>
          <w:lang w:val="en-US"/>
        </w:rPr>
      </w:pPr>
      <w:r w:rsidRPr="0092458B">
        <w:rPr>
          <w:rFonts w:cstheme="minorHAnsi"/>
          <w:sz w:val="24"/>
          <w:szCs w:val="24"/>
          <w:lang w:val="en-US" w:bidi="en-US"/>
        </w:rPr>
        <w:t>Hagens N (2020) Economics for the future – beyond the superorganism. Ecological Economics 169: 1-16</w:t>
      </w:r>
    </w:p>
    <w:p w14:paraId="35C58D3B" w14:textId="77777777" w:rsidR="00D94033" w:rsidRPr="0092458B" w:rsidRDefault="00D94033" w:rsidP="00A640DF">
      <w:pPr>
        <w:spacing w:after="0" w:line="240" w:lineRule="auto"/>
        <w:rPr>
          <w:rFonts w:cstheme="minorHAnsi"/>
          <w:sz w:val="24"/>
          <w:szCs w:val="24"/>
          <w:lang w:val="en-US"/>
        </w:rPr>
      </w:pPr>
    </w:p>
    <w:p w14:paraId="6E962DF3" w14:textId="7C12759D" w:rsidR="006D176A" w:rsidRPr="0092458B" w:rsidRDefault="006D176A" w:rsidP="006D176A">
      <w:pPr>
        <w:rPr>
          <w:rFonts w:cstheme="minorHAnsi"/>
          <w:sz w:val="24"/>
          <w:szCs w:val="24"/>
          <w:lang w:val="en-US"/>
        </w:rPr>
      </w:pPr>
      <w:r w:rsidRPr="0092458B">
        <w:rPr>
          <w:rFonts w:cstheme="minorHAnsi"/>
          <w:sz w:val="24"/>
          <w:szCs w:val="24"/>
          <w:lang w:val="en-US" w:bidi="en-US"/>
        </w:rPr>
        <w:t xml:space="preserve">Hardin G (1968) The tragedy of the Commons. Science 162 (3859): 1243-1248. </w:t>
      </w:r>
    </w:p>
    <w:p w14:paraId="6D7CA504" w14:textId="6242DD2E" w:rsidR="00FA615A" w:rsidRPr="0092458B" w:rsidRDefault="00FA615A" w:rsidP="00A640DF">
      <w:pPr>
        <w:spacing w:after="0" w:line="240" w:lineRule="auto"/>
        <w:rPr>
          <w:rFonts w:cstheme="minorHAnsi"/>
          <w:sz w:val="24"/>
          <w:szCs w:val="24"/>
          <w:lang w:val="en-US"/>
        </w:rPr>
      </w:pPr>
      <w:r w:rsidRPr="0092458B">
        <w:rPr>
          <w:rFonts w:cstheme="minorHAnsi"/>
          <w:sz w:val="24"/>
          <w:szCs w:val="24"/>
          <w:lang w:val="en-US" w:bidi="en-US"/>
        </w:rPr>
        <w:lastRenderedPageBreak/>
        <w:t>Hartley T, van den Bergh J, Kallis G (2020) Policies for equality under low or no growth: A model inspired by Piketty. Review of Political Economy 32 (2): 243-258</w:t>
      </w:r>
    </w:p>
    <w:p w14:paraId="68DFF271" w14:textId="77777777" w:rsidR="00D94033" w:rsidRPr="0092458B" w:rsidRDefault="00D94033" w:rsidP="00A640DF">
      <w:pPr>
        <w:spacing w:after="0" w:line="240" w:lineRule="auto"/>
        <w:rPr>
          <w:rFonts w:cstheme="minorHAnsi"/>
          <w:sz w:val="24"/>
          <w:szCs w:val="24"/>
          <w:lang w:val="en-US"/>
        </w:rPr>
      </w:pPr>
    </w:p>
    <w:p w14:paraId="204B1861" w14:textId="2CE10D46" w:rsidR="00A11F95" w:rsidRPr="0092458B" w:rsidRDefault="00A11F95" w:rsidP="000F50B4">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 xml:space="preserve">Hasanaj V (2022) Global patterns of contemporary welfare states. Journal of Social Policy (online). </w:t>
      </w:r>
    </w:p>
    <w:p w14:paraId="3C256AAE" w14:textId="77777777" w:rsidR="00A11F95" w:rsidRPr="0092458B" w:rsidRDefault="00A11F95" w:rsidP="00A640DF">
      <w:pPr>
        <w:spacing w:after="0" w:line="240" w:lineRule="auto"/>
        <w:rPr>
          <w:rFonts w:cstheme="minorHAnsi"/>
          <w:sz w:val="24"/>
          <w:szCs w:val="24"/>
          <w:lang w:val="en-US"/>
        </w:rPr>
      </w:pPr>
    </w:p>
    <w:p w14:paraId="67BB379F" w14:textId="7D14C15D" w:rsidR="00520950" w:rsidRPr="0092458B" w:rsidRDefault="00520950" w:rsidP="00A640DF">
      <w:pPr>
        <w:spacing w:after="0" w:line="240" w:lineRule="auto"/>
        <w:rPr>
          <w:rFonts w:cstheme="minorHAnsi"/>
          <w:sz w:val="24"/>
          <w:szCs w:val="24"/>
          <w:lang w:val="en-US"/>
        </w:rPr>
      </w:pPr>
      <w:proofErr w:type="spellStart"/>
      <w:r w:rsidRPr="0092458B">
        <w:rPr>
          <w:rFonts w:cstheme="minorHAnsi"/>
          <w:sz w:val="24"/>
          <w:szCs w:val="24"/>
          <w:lang w:val="en-US" w:bidi="en-US"/>
        </w:rPr>
        <w:t>Heggebø</w:t>
      </w:r>
      <w:proofErr w:type="spellEnd"/>
      <w:r w:rsidRPr="0092458B">
        <w:rPr>
          <w:rFonts w:cstheme="minorHAnsi"/>
          <w:sz w:val="24"/>
          <w:szCs w:val="24"/>
          <w:lang w:val="en-US" w:bidi="en-US"/>
        </w:rPr>
        <w:t xml:space="preserve"> K, </w:t>
      </w:r>
      <w:proofErr w:type="spellStart"/>
      <w:r w:rsidRPr="0092458B">
        <w:rPr>
          <w:rFonts w:cstheme="minorHAnsi"/>
          <w:sz w:val="24"/>
          <w:szCs w:val="24"/>
          <w:lang w:val="en-US" w:bidi="en-US"/>
        </w:rPr>
        <w:t>Hvinden</w:t>
      </w:r>
      <w:proofErr w:type="spellEnd"/>
      <w:r w:rsidRPr="0092458B">
        <w:rPr>
          <w:rFonts w:cstheme="minorHAnsi"/>
          <w:sz w:val="24"/>
          <w:szCs w:val="24"/>
          <w:lang w:val="en-US" w:bidi="en-US"/>
        </w:rPr>
        <w:t xml:space="preserve"> B (2022) Attitudes towards climate change and economic inequality: A cross-national comparative study. In: </w:t>
      </w:r>
      <w:proofErr w:type="spellStart"/>
      <w:r w:rsidRPr="0092458B">
        <w:rPr>
          <w:rFonts w:cstheme="minorHAnsi"/>
          <w:sz w:val="24"/>
          <w:szCs w:val="24"/>
          <w:lang w:val="en-US" w:bidi="en-US"/>
        </w:rPr>
        <w:t>Schoyen</w:t>
      </w:r>
      <w:proofErr w:type="spellEnd"/>
      <w:r w:rsidRPr="0092458B">
        <w:rPr>
          <w:rFonts w:cstheme="minorHAnsi"/>
          <w:sz w:val="24"/>
          <w:szCs w:val="24"/>
          <w:lang w:val="en-US" w:bidi="en-US"/>
        </w:rPr>
        <w:t xml:space="preserve"> M, </w:t>
      </w:r>
      <w:proofErr w:type="spellStart"/>
      <w:r w:rsidRPr="0092458B">
        <w:rPr>
          <w:rFonts w:cstheme="minorHAnsi"/>
          <w:sz w:val="24"/>
          <w:szCs w:val="24"/>
          <w:lang w:val="en-US" w:bidi="en-US"/>
        </w:rPr>
        <w:t>Hvinden</w:t>
      </w:r>
      <w:proofErr w:type="spellEnd"/>
      <w:r w:rsidRPr="0092458B">
        <w:rPr>
          <w:rFonts w:cstheme="minorHAnsi"/>
          <w:sz w:val="24"/>
          <w:szCs w:val="24"/>
          <w:lang w:val="en-US" w:bidi="en-US"/>
        </w:rPr>
        <w:t xml:space="preserve"> B, </w:t>
      </w:r>
      <w:proofErr w:type="spellStart"/>
      <w:r w:rsidRPr="0092458B">
        <w:rPr>
          <w:rFonts w:cstheme="minorHAnsi"/>
          <w:sz w:val="24"/>
          <w:szCs w:val="24"/>
          <w:lang w:val="en-US" w:bidi="en-US"/>
        </w:rPr>
        <w:t>Leiren</w:t>
      </w:r>
      <w:proofErr w:type="spellEnd"/>
      <w:r w:rsidRPr="0092458B">
        <w:rPr>
          <w:rFonts w:cstheme="minorHAnsi"/>
          <w:sz w:val="24"/>
          <w:szCs w:val="24"/>
          <w:lang w:val="en-US" w:bidi="en-US"/>
        </w:rPr>
        <w:t xml:space="preserve"> D (eds.) Towards sustainable welfare states in Europe. Edward Elgar, Cheltenham, p 53-79.</w:t>
      </w:r>
    </w:p>
    <w:p w14:paraId="09BB990A" w14:textId="77777777" w:rsidR="00D94033" w:rsidRPr="0092458B" w:rsidRDefault="00D94033" w:rsidP="00A640DF">
      <w:pPr>
        <w:spacing w:after="0" w:line="240" w:lineRule="auto"/>
        <w:rPr>
          <w:rFonts w:cstheme="minorHAnsi"/>
          <w:sz w:val="24"/>
          <w:szCs w:val="24"/>
          <w:lang w:val="en-US"/>
        </w:rPr>
      </w:pPr>
    </w:p>
    <w:p w14:paraId="2201D884" w14:textId="7B8B56E6" w:rsidR="003D6E2C" w:rsidRPr="0092458B" w:rsidRDefault="003D6E2C" w:rsidP="00A640DF">
      <w:pPr>
        <w:spacing w:after="0" w:line="240" w:lineRule="auto"/>
        <w:rPr>
          <w:rFonts w:cstheme="minorHAnsi"/>
          <w:sz w:val="24"/>
          <w:szCs w:val="24"/>
          <w:lang w:val="en-US"/>
        </w:rPr>
      </w:pPr>
      <w:r w:rsidRPr="0092458B">
        <w:rPr>
          <w:rFonts w:cstheme="minorHAnsi"/>
          <w:sz w:val="24"/>
          <w:szCs w:val="24"/>
          <w:lang w:val="en-US" w:bidi="en-US"/>
        </w:rPr>
        <w:t xml:space="preserve">Helfrich H, Bollier D (2015) Commons. In: </w:t>
      </w:r>
      <w:proofErr w:type="spellStart"/>
      <w:r w:rsidRPr="0092458B">
        <w:rPr>
          <w:rFonts w:cstheme="minorHAnsi"/>
          <w:sz w:val="24"/>
          <w:szCs w:val="24"/>
          <w:lang w:val="en-US" w:bidi="en-US"/>
        </w:rPr>
        <w:t>D’Alisa</w:t>
      </w:r>
      <w:proofErr w:type="spellEnd"/>
      <w:r w:rsidRPr="0092458B">
        <w:rPr>
          <w:rFonts w:cstheme="minorHAnsi"/>
          <w:sz w:val="24"/>
          <w:szCs w:val="24"/>
          <w:lang w:val="en-US" w:bidi="en-US"/>
        </w:rPr>
        <w:t xml:space="preserve"> G, Demaria F, Kallis G, (eds.) Degrowth: A vocabulary for a new era. Routledge, Abingdon, p. 74-78.  </w:t>
      </w:r>
    </w:p>
    <w:p w14:paraId="2B91A5E0" w14:textId="4498EF6F" w:rsidR="007A35F5" w:rsidRPr="0092458B" w:rsidRDefault="007A35F5" w:rsidP="00A640DF">
      <w:pPr>
        <w:spacing w:after="0" w:line="240" w:lineRule="auto"/>
        <w:rPr>
          <w:rFonts w:cstheme="minorHAnsi"/>
          <w:sz w:val="24"/>
          <w:szCs w:val="24"/>
          <w:lang w:val="en-US"/>
        </w:rPr>
      </w:pPr>
    </w:p>
    <w:p w14:paraId="3A264772" w14:textId="2EB9D743" w:rsidR="007A35F5" w:rsidRPr="0092458B" w:rsidRDefault="007A35F5" w:rsidP="00A640DF">
      <w:pPr>
        <w:spacing w:after="0" w:line="240" w:lineRule="auto"/>
        <w:rPr>
          <w:rFonts w:cstheme="minorHAnsi"/>
          <w:sz w:val="24"/>
          <w:szCs w:val="24"/>
          <w:lang w:val="en-US"/>
        </w:rPr>
      </w:pPr>
      <w:r w:rsidRPr="0092458B">
        <w:rPr>
          <w:rFonts w:cstheme="minorHAnsi"/>
          <w:sz w:val="24"/>
          <w:szCs w:val="24"/>
          <w:lang w:val="en-US" w:bidi="en-US"/>
        </w:rPr>
        <w:t xml:space="preserve">Herrington G (2021) Update to limits to growth: Comparing the World3 model with empirical data. Journal of Industrial Ecology 25 (3): 614-626. </w:t>
      </w:r>
    </w:p>
    <w:p w14:paraId="53384C95" w14:textId="77777777" w:rsidR="00D94033" w:rsidRPr="0092458B" w:rsidRDefault="00D94033" w:rsidP="00A640DF">
      <w:pPr>
        <w:spacing w:after="0" w:line="240" w:lineRule="auto"/>
        <w:rPr>
          <w:rFonts w:cstheme="minorHAnsi"/>
          <w:sz w:val="24"/>
          <w:szCs w:val="24"/>
          <w:lang w:val="en-US"/>
        </w:rPr>
      </w:pPr>
    </w:p>
    <w:p w14:paraId="431E2C51" w14:textId="2FBDEA19" w:rsidR="00985A6B" w:rsidRPr="0092458B" w:rsidRDefault="00985A6B" w:rsidP="00A640DF">
      <w:pPr>
        <w:spacing w:after="0" w:line="240" w:lineRule="auto"/>
        <w:rPr>
          <w:rFonts w:cstheme="minorHAnsi"/>
          <w:sz w:val="24"/>
          <w:szCs w:val="24"/>
          <w:lang w:val="en-US"/>
        </w:rPr>
      </w:pPr>
      <w:r w:rsidRPr="0092458B">
        <w:rPr>
          <w:rFonts w:cstheme="minorHAnsi"/>
          <w:sz w:val="24"/>
          <w:szCs w:val="24"/>
          <w:lang w:val="en-US" w:bidi="en-US"/>
        </w:rPr>
        <w:t xml:space="preserve">Hickel J (2020) Less is more. How degrowth will save the world. William Heinemann, London.  </w:t>
      </w:r>
    </w:p>
    <w:p w14:paraId="79C34F17" w14:textId="77777777" w:rsidR="00D94033" w:rsidRPr="0092458B" w:rsidRDefault="00D94033" w:rsidP="00A640DF">
      <w:pPr>
        <w:spacing w:after="0" w:line="240" w:lineRule="auto"/>
        <w:rPr>
          <w:rFonts w:cstheme="minorHAnsi"/>
          <w:sz w:val="24"/>
          <w:szCs w:val="24"/>
          <w:lang w:val="en-US"/>
        </w:rPr>
      </w:pPr>
    </w:p>
    <w:p w14:paraId="29DC0E96" w14:textId="247363AB" w:rsidR="0028567B" w:rsidRPr="0092458B" w:rsidRDefault="0028567B" w:rsidP="00A640DF">
      <w:pPr>
        <w:spacing w:after="0" w:line="240" w:lineRule="auto"/>
        <w:rPr>
          <w:rFonts w:cstheme="minorHAnsi"/>
          <w:sz w:val="24"/>
          <w:szCs w:val="24"/>
          <w:lang w:val="en-US"/>
        </w:rPr>
      </w:pPr>
      <w:r w:rsidRPr="0092458B">
        <w:rPr>
          <w:rFonts w:cstheme="minorHAnsi"/>
          <w:sz w:val="24"/>
          <w:szCs w:val="24"/>
          <w:lang w:val="en-US" w:bidi="en-US"/>
        </w:rPr>
        <w:t>Hickel J (2021) What does degrowth mean? A few points of clarification. Globalizations 18 (7): 1105-111</w:t>
      </w:r>
    </w:p>
    <w:p w14:paraId="326BAF57" w14:textId="77777777" w:rsidR="00D94033" w:rsidRPr="0092458B" w:rsidRDefault="00D94033" w:rsidP="00A640DF">
      <w:pPr>
        <w:spacing w:after="0" w:line="240" w:lineRule="auto"/>
        <w:rPr>
          <w:rFonts w:cstheme="minorHAnsi"/>
          <w:sz w:val="24"/>
          <w:szCs w:val="24"/>
          <w:lang w:val="en-US"/>
        </w:rPr>
      </w:pPr>
    </w:p>
    <w:p w14:paraId="5756FD3E" w14:textId="06457A26" w:rsidR="00C052DA" w:rsidRPr="0092458B" w:rsidRDefault="00C052DA" w:rsidP="00A640DF">
      <w:pPr>
        <w:spacing w:after="0" w:line="240" w:lineRule="auto"/>
        <w:rPr>
          <w:rFonts w:cstheme="minorHAnsi"/>
          <w:sz w:val="24"/>
          <w:szCs w:val="24"/>
          <w:lang w:val="en-US"/>
        </w:rPr>
      </w:pPr>
      <w:r w:rsidRPr="0092458B">
        <w:rPr>
          <w:rFonts w:cstheme="minorHAnsi"/>
          <w:sz w:val="24"/>
          <w:szCs w:val="24"/>
          <w:lang w:val="en-US" w:bidi="en-US"/>
        </w:rPr>
        <w:t>Hickel J, Kallis G (2020) Is green growth possible? New political economy 25 (4): 469-486</w:t>
      </w:r>
    </w:p>
    <w:p w14:paraId="07FB53A8" w14:textId="77777777" w:rsidR="00D94033" w:rsidRPr="0092458B" w:rsidRDefault="00D94033" w:rsidP="00A640DF">
      <w:pPr>
        <w:spacing w:after="0" w:line="240" w:lineRule="auto"/>
        <w:rPr>
          <w:rFonts w:cstheme="minorHAnsi"/>
          <w:sz w:val="24"/>
          <w:szCs w:val="24"/>
          <w:lang w:val="en-US"/>
        </w:rPr>
      </w:pPr>
    </w:p>
    <w:p w14:paraId="22DAA668" w14:textId="1ADC1416" w:rsidR="00C052DA" w:rsidRPr="0092458B" w:rsidRDefault="00C052DA" w:rsidP="00A640DF">
      <w:pPr>
        <w:spacing w:after="0" w:line="240" w:lineRule="auto"/>
        <w:rPr>
          <w:rFonts w:cstheme="minorHAnsi"/>
          <w:sz w:val="24"/>
          <w:szCs w:val="24"/>
          <w:lang w:val="en-US"/>
        </w:rPr>
      </w:pPr>
      <w:r w:rsidRPr="0092458B">
        <w:rPr>
          <w:rFonts w:cstheme="minorHAnsi"/>
          <w:sz w:val="24"/>
          <w:szCs w:val="24"/>
          <w:lang w:val="en-US" w:bidi="en-US"/>
        </w:rPr>
        <w:t xml:space="preserve">Hickel J, Sullivan D, </w:t>
      </w:r>
      <w:proofErr w:type="spellStart"/>
      <w:r w:rsidRPr="0092458B">
        <w:rPr>
          <w:rFonts w:cstheme="minorHAnsi"/>
          <w:sz w:val="24"/>
          <w:szCs w:val="24"/>
          <w:lang w:val="en-US" w:bidi="en-US"/>
        </w:rPr>
        <w:t>Zoomkawala</w:t>
      </w:r>
      <w:proofErr w:type="spellEnd"/>
      <w:r w:rsidRPr="0092458B">
        <w:rPr>
          <w:rFonts w:cstheme="minorHAnsi"/>
          <w:sz w:val="24"/>
          <w:szCs w:val="24"/>
          <w:lang w:val="en-US" w:bidi="en-US"/>
        </w:rPr>
        <w:t xml:space="preserve"> H (2021) Plunder in the post-colonial era: Quantifying drain from the global South through unequal exchange 1960-2018. New Political Economy 26 (6): 1030-1047</w:t>
      </w:r>
    </w:p>
    <w:p w14:paraId="3EC3E19F" w14:textId="77777777" w:rsidR="00D94033" w:rsidRPr="0092458B" w:rsidRDefault="00D94033" w:rsidP="00A640DF">
      <w:pPr>
        <w:spacing w:after="0" w:line="240" w:lineRule="auto"/>
        <w:rPr>
          <w:rFonts w:cstheme="minorHAnsi"/>
          <w:sz w:val="24"/>
          <w:szCs w:val="24"/>
          <w:lang w:val="en-US"/>
        </w:rPr>
      </w:pPr>
    </w:p>
    <w:p w14:paraId="28C89A73" w14:textId="5565AD38" w:rsidR="008C7097" w:rsidRPr="0092458B" w:rsidRDefault="008C7097" w:rsidP="00A640DF">
      <w:pPr>
        <w:spacing w:after="0" w:line="240" w:lineRule="auto"/>
        <w:rPr>
          <w:rFonts w:cstheme="minorHAnsi"/>
          <w:sz w:val="24"/>
          <w:szCs w:val="24"/>
          <w:lang w:val="en-US"/>
        </w:rPr>
      </w:pPr>
      <w:r w:rsidRPr="0092458B">
        <w:rPr>
          <w:rFonts w:cstheme="minorHAnsi"/>
          <w:sz w:val="24"/>
          <w:szCs w:val="24"/>
          <w:lang w:val="en-US" w:bidi="en-US"/>
        </w:rPr>
        <w:t xml:space="preserve">Hickel J, </w:t>
      </w:r>
      <w:proofErr w:type="spellStart"/>
      <w:r w:rsidRPr="0092458B">
        <w:rPr>
          <w:rFonts w:cstheme="minorHAnsi"/>
          <w:sz w:val="24"/>
          <w:szCs w:val="24"/>
          <w:lang w:val="en-US" w:bidi="en-US"/>
        </w:rPr>
        <w:t>Dorninger</w:t>
      </w:r>
      <w:proofErr w:type="spellEnd"/>
      <w:r w:rsidRPr="0092458B">
        <w:rPr>
          <w:rFonts w:cstheme="minorHAnsi"/>
          <w:sz w:val="24"/>
          <w:szCs w:val="24"/>
          <w:lang w:val="en-US" w:bidi="en-US"/>
        </w:rPr>
        <w:t xml:space="preserve"> C, Wieland H, Suwandi I (2022) Imperialist appropriation in the world economy: Drain from the global south through unequal exchange 1990-2015. Global Environmental Change 73: 1-14</w:t>
      </w:r>
    </w:p>
    <w:p w14:paraId="35E1F923" w14:textId="77777777" w:rsidR="00D94033" w:rsidRPr="0092458B" w:rsidRDefault="00D94033" w:rsidP="00A640DF">
      <w:pPr>
        <w:spacing w:after="0" w:line="240" w:lineRule="auto"/>
        <w:rPr>
          <w:rFonts w:cstheme="minorHAnsi"/>
          <w:sz w:val="24"/>
          <w:szCs w:val="24"/>
          <w:lang w:val="en-US"/>
        </w:rPr>
      </w:pPr>
    </w:p>
    <w:p w14:paraId="72582653" w14:textId="71388624" w:rsidR="00C12EB8" w:rsidRPr="0092458B" w:rsidRDefault="00C12EB8" w:rsidP="00A640DF">
      <w:pPr>
        <w:spacing w:after="0" w:line="240" w:lineRule="auto"/>
        <w:rPr>
          <w:rFonts w:cstheme="minorHAnsi"/>
          <w:sz w:val="24"/>
          <w:szCs w:val="24"/>
          <w:lang w:val="en-US"/>
        </w:rPr>
      </w:pPr>
      <w:proofErr w:type="spellStart"/>
      <w:r w:rsidRPr="0092458B">
        <w:rPr>
          <w:rFonts w:cstheme="minorHAnsi"/>
          <w:sz w:val="24"/>
          <w:szCs w:val="24"/>
          <w:lang w:val="en-US" w:bidi="en-US"/>
        </w:rPr>
        <w:t>Hirvilammi</w:t>
      </w:r>
      <w:proofErr w:type="spellEnd"/>
      <w:r w:rsidRPr="0092458B">
        <w:rPr>
          <w:rFonts w:cstheme="minorHAnsi"/>
          <w:sz w:val="24"/>
          <w:szCs w:val="24"/>
          <w:lang w:val="en-US" w:bidi="en-US"/>
        </w:rPr>
        <w:t xml:space="preserve"> T (2020) The virtuous circle of sustainable welfare as a transformative policy idea. Sustainability 12 (1): 1-15</w:t>
      </w:r>
    </w:p>
    <w:p w14:paraId="7DB3DC4C" w14:textId="77777777" w:rsidR="00D94033" w:rsidRPr="0092458B" w:rsidRDefault="00D94033" w:rsidP="00A640DF">
      <w:pPr>
        <w:spacing w:after="0" w:line="240" w:lineRule="auto"/>
        <w:rPr>
          <w:rFonts w:cstheme="minorHAnsi"/>
          <w:sz w:val="24"/>
          <w:szCs w:val="24"/>
          <w:lang w:val="en-US"/>
        </w:rPr>
      </w:pPr>
    </w:p>
    <w:p w14:paraId="410CF368" w14:textId="5C9C92AD" w:rsidR="008E27DD" w:rsidRPr="0092458B" w:rsidRDefault="008E27DD" w:rsidP="00A640DF">
      <w:pPr>
        <w:spacing w:after="0" w:line="240" w:lineRule="auto"/>
        <w:rPr>
          <w:rFonts w:cstheme="minorHAnsi"/>
          <w:sz w:val="24"/>
          <w:szCs w:val="24"/>
          <w:lang w:val="en-US"/>
        </w:rPr>
      </w:pPr>
      <w:proofErr w:type="spellStart"/>
      <w:r w:rsidRPr="0092458B">
        <w:rPr>
          <w:rFonts w:cstheme="minorHAnsi"/>
          <w:sz w:val="24"/>
          <w:szCs w:val="24"/>
          <w:lang w:val="en-US" w:bidi="en-US"/>
        </w:rPr>
        <w:t>Hirvilammi</w:t>
      </w:r>
      <w:proofErr w:type="spellEnd"/>
      <w:r w:rsidRPr="0092458B">
        <w:rPr>
          <w:rFonts w:cstheme="minorHAnsi"/>
          <w:sz w:val="24"/>
          <w:szCs w:val="24"/>
          <w:lang w:val="en-US" w:bidi="en-US"/>
        </w:rPr>
        <w:t xml:space="preserve"> T, Koch M (2020) Sustainable welfare beyond growth. Sustainability 12 (5): 1-8. </w:t>
      </w:r>
    </w:p>
    <w:p w14:paraId="64B8CE03" w14:textId="77777777" w:rsidR="00D94033" w:rsidRPr="0092458B" w:rsidRDefault="00D94033" w:rsidP="00A640DF">
      <w:pPr>
        <w:spacing w:after="0" w:line="240" w:lineRule="auto"/>
        <w:rPr>
          <w:rFonts w:cstheme="minorHAnsi"/>
          <w:sz w:val="24"/>
          <w:szCs w:val="24"/>
          <w:lang w:val="en-US"/>
        </w:rPr>
      </w:pPr>
    </w:p>
    <w:p w14:paraId="323398C1" w14:textId="2D244D5E" w:rsidR="00347F6B" w:rsidRPr="0092458B" w:rsidRDefault="00347F6B" w:rsidP="00A640DF">
      <w:pPr>
        <w:spacing w:after="0" w:line="240" w:lineRule="auto"/>
        <w:rPr>
          <w:rFonts w:cstheme="minorHAnsi"/>
          <w:sz w:val="24"/>
          <w:szCs w:val="24"/>
          <w:lang w:val="en-US"/>
        </w:rPr>
      </w:pPr>
      <w:proofErr w:type="spellStart"/>
      <w:r w:rsidRPr="0092458B">
        <w:rPr>
          <w:rFonts w:cstheme="minorHAnsi"/>
          <w:sz w:val="24"/>
          <w:szCs w:val="24"/>
          <w:lang w:val="en-US" w:bidi="en-US"/>
        </w:rPr>
        <w:t>Hirvilammi</w:t>
      </w:r>
      <w:proofErr w:type="spellEnd"/>
      <w:r w:rsidRPr="0092458B">
        <w:rPr>
          <w:rFonts w:cstheme="minorHAnsi"/>
          <w:sz w:val="24"/>
          <w:szCs w:val="24"/>
          <w:lang w:val="en-US" w:bidi="en-US"/>
        </w:rPr>
        <w:t xml:space="preserve"> T, </w:t>
      </w:r>
      <w:proofErr w:type="spellStart"/>
      <w:r w:rsidRPr="0092458B">
        <w:rPr>
          <w:rFonts w:cstheme="minorHAnsi"/>
          <w:sz w:val="24"/>
          <w:szCs w:val="24"/>
          <w:lang w:val="en-US" w:bidi="en-US"/>
        </w:rPr>
        <w:t>Häikiö</w:t>
      </w:r>
      <w:proofErr w:type="spellEnd"/>
      <w:r w:rsidRPr="0092458B">
        <w:rPr>
          <w:rFonts w:cstheme="minorHAnsi"/>
          <w:sz w:val="24"/>
          <w:szCs w:val="24"/>
          <w:lang w:val="en-US" w:bidi="en-US"/>
        </w:rPr>
        <w:t xml:space="preserve"> L, Johansson H, Koch M, Perkiö J (2023) Social policy in a climate emergency context: Towards an </w:t>
      </w:r>
      <w:proofErr w:type="spellStart"/>
      <w:r w:rsidRPr="0092458B">
        <w:rPr>
          <w:rFonts w:cstheme="minorHAnsi"/>
          <w:sz w:val="24"/>
          <w:szCs w:val="24"/>
          <w:lang w:val="en-US" w:bidi="en-US"/>
        </w:rPr>
        <w:t>ecosocial</w:t>
      </w:r>
      <w:proofErr w:type="spellEnd"/>
      <w:r w:rsidRPr="0092458B">
        <w:rPr>
          <w:rFonts w:cstheme="minorHAnsi"/>
          <w:sz w:val="24"/>
          <w:szCs w:val="24"/>
          <w:lang w:val="en-US" w:bidi="en-US"/>
        </w:rPr>
        <w:t xml:space="preserve"> research agenda. Journal of Social Policy </w:t>
      </w:r>
    </w:p>
    <w:p w14:paraId="28D527EB" w14:textId="77777777" w:rsidR="00D94033" w:rsidRPr="0092458B" w:rsidRDefault="00D94033" w:rsidP="00A640DF">
      <w:pPr>
        <w:spacing w:after="0" w:line="240" w:lineRule="auto"/>
        <w:rPr>
          <w:rFonts w:cstheme="minorHAnsi"/>
          <w:sz w:val="24"/>
          <w:szCs w:val="24"/>
          <w:lang w:val="en-US"/>
        </w:rPr>
      </w:pPr>
    </w:p>
    <w:p w14:paraId="1C4AEFA1" w14:textId="77777777" w:rsidR="00020455" w:rsidRPr="0092458B" w:rsidRDefault="00020455" w:rsidP="00020455">
      <w:pPr>
        <w:spacing w:after="0" w:line="240" w:lineRule="auto"/>
        <w:rPr>
          <w:rFonts w:cstheme="minorHAnsi"/>
          <w:sz w:val="24"/>
          <w:szCs w:val="24"/>
          <w:lang w:val="en-US"/>
        </w:rPr>
      </w:pPr>
      <w:r w:rsidRPr="0092458B">
        <w:rPr>
          <w:rFonts w:cstheme="minorHAnsi"/>
          <w:sz w:val="24"/>
          <w:szCs w:val="24"/>
          <w:lang w:val="en-US" w:bidi="en-US"/>
        </w:rPr>
        <w:t>Hubacek K, Wieland, H (2021) Global patterns of ecologically unequal exchange: Implications for sustainability in the 21</w:t>
      </w:r>
      <w:r w:rsidRPr="0092458B">
        <w:rPr>
          <w:rFonts w:cstheme="minorHAnsi"/>
          <w:sz w:val="24"/>
          <w:szCs w:val="24"/>
          <w:vertAlign w:val="superscript"/>
          <w:lang w:val="en-US" w:bidi="en-US"/>
        </w:rPr>
        <w:t>st</w:t>
      </w:r>
      <w:r w:rsidRPr="0092458B">
        <w:rPr>
          <w:rFonts w:cstheme="minorHAnsi"/>
          <w:sz w:val="24"/>
          <w:szCs w:val="24"/>
          <w:lang w:val="en-US" w:bidi="en-US"/>
        </w:rPr>
        <w:t xml:space="preserve"> Century. Ecological Economics 179: 1-14. </w:t>
      </w:r>
    </w:p>
    <w:p w14:paraId="010B5427" w14:textId="77777777" w:rsidR="00020455" w:rsidRPr="0092458B" w:rsidRDefault="00020455" w:rsidP="00A640DF">
      <w:pPr>
        <w:spacing w:after="0" w:line="240" w:lineRule="auto"/>
        <w:rPr>
          <w:rFonts w:cstheme="minorHAnsi"/>
          <w:sz w:val="24"/>
          <w:szCs w:val="24"/>
          <w:lang w:val="en-US"/>
        </w:rPr>
      </w:pPr>
    </w:p>
    <w:p w14:paraId="0E05EC40" w14:textId="2ABBC899" w:rsidR="008778E6" w:rsidRPr="0092458B" w:rsidRDefault="008778E6" w:rsidP="00A640DF">
      <w:pPr>
        <w:spacing w:after="0" w:line="240" w:lineRule="auto"/>
        <w:rPr>
          <w:rFonts w:cstheme="minorHAnsi"/>
          <w:sz w:val="24"/>
          <w:szCs w:val="24"/>
          <w:lang w:val="en-US"/>
        </w:rPr>
      </w:pPr>
      <w:r w:rsidRPr="0092458B">
        <w:rPr>
          <w:rFonts w:cstheme="minorHAnsi"/>
          <w:sz w:val="24"/>
          <w:szCs w:val="24"/>
          <w:lang w:val="en-US" w:bidi="en-US"/>
        </w:rPr>
        <w:t xml:space="preserve">Hubacek K, Chen X, Feng K, Wiedmann T, Shan Y (2021) Evidence of decoupling consumption-based CO2 emissions from economic growth. Advances in Applied Energy 4: 1-10. </w:t>
      </w:r>
    </w:p>
    <w:p w14:paraId="5DFBB57D" w14:textId="77777777" w:rsidR="00D94033" w:rsidRPr="0092458B" w:rsidRDefault="00D94033" w:rsidP="00A640DF">
      <w:pPr>
        <w:spacing w:after="0" w:line="240" w:lineRule="auto"/>
        <w:rPr>
          <w:rFonts w:cstheme="minorHAnsi"/>
          <w:sz w:val="24"/>
          <w:szCs w:val="24"/>
          <w:lang w:val="en-US"/>
        </w:rPr>
      </w:pPr>
    </w:p>
    <w:p w14:paraId="5AD7BC26" w14:textId="101DB028" w:rsidR="00684F19" w:rsidRPr="0092458B" w:rsidRDefault="00684F19" w:rsidP="00A640DF">
      <w:pPr>
        <w:spacing w:after="0" w:line="240" w:lineRule="auto"/>
        <w:rPr>
          <w:rFonts w:cstheme="minorHAnsi"/>
          <w:sz w:val="24"/>
          <w:szCs w:val="24"/>
          <w:lang w:val="en-US"/>
        </w:rPr>
      </w:pPr>
      <w:r w:rsidRPr="0092458B">
        <w:rPr>
          <w:rFonts w:cstheme="minorHAnsi"/>
          <w:sz w:val="24"/>
          <w:szCs w:val="24"/>
          <w:lang w:val="en-US" w:bidi="en-US"/>
        </w:rPr>
        <w:t>IPBES (2019). Global assessment report of the intergovernmental science-policy platform on biodiversity and ecosystem Services. IPBES, Bonn</w:t>
      </w:r>
    </w:p>
    <w:p w14:paraId="5B8B6359" w14:textId="77777777" w:rsidR="00D94033" w:rsidRPr="0092458B" w:rsidRDefault="00D94033" w:rsidP="00A640DF">
      <w:pPr>
        <w:spacing w:after="0" w:line="240" w:lineRule="auto"/>
        <w:rPr>
          <w:rFonts w:cstheme="minorHAnsi"/>
          <w:sz w:val="24"/>
          <w:szCs w:val="24"/>
          <w:lang w:val="en-US"/>
        </w:rPr>
      </w:pPr>
    </w:p>
    <w:p w14:paraId="6D566883" w14:textId="38F64A41" w:rsidR="00C229D3" w:rsidRPr="0092458B" w:rsidRDefault="00C229D3" w:rsidP="00A640DF">
      <w:pPr>
        <w:spacing w:after="0" w:line="240" w:lineRule="auto"/>
        <w:rPr>
          <w:rFonts w:cstheme="minorHAnsi"/>
          <w:sz w:val="24"/>
          <w:szCs w:val="24"/>
          <w:lang w:val="en-US"/>
        </w:rPr>
      </w:pPr>
      <w:r w:rsidRPr="0092458B">
        <w:rPr>
          <w:rFonts w:cstheme="minorHAnsi"/>
          <w:sz w:val="24"/>
          <w:szCs w:val="24"/>
          <w:lang w:val="en-US" w:bidi="en-US"/>
        </w:rPr>
        <w:t xml:space="preserve">IPCC (2022). Climate change 2022: Mitigation of climate change. Summary for policymakers. working group III contribution to the IPCC sixth assessment report. Cambridge University Press, Cambridge. </w:t>
      </w:r>
    </w:p>
    <w:p w14:paraId="34275E04" w14:textId="77777777" w:rsidR="00D94033" w:rsidRPr="0092458B" w:rsidRDefault="00D94033" w:rsidP="00A640DF">
      <w:pPr>
        <w:spacing w:after="0" w:line="240" w:lineRule="auto"/>
        <w:rPr>
          <w:rFonts w:cstheme="minorHAnsi"/>
          <w:sz w:val="24"/>
          <w:szCs w:val="24"/>
          <w:lang w:val="en-US"/>
        </w:rPr>
      </w:pPr>
    </w:p>
    <w:p w14:paraId="3D1A7B11" w14:textId="43732A37" w:rsidR="00B719C4" w:rsidRPr="0092458B" w:rsidRDefault="00B719C4" w:rsidP="00A640DF">
      <w:pPr>
        <w:spacing w:after="0" w:line="240" w:lineRule="auto"/>
        <w:rPr>
          <w:rFonts w:cstheme="minorHAnsi"/>
          <w:sz w:val="24"/>
          <w:szCs w:val="24"/>
          <w:lang w:val="en-US"/>
        </w:rPr>
      </w:pPr>
      <w:r w:rsidRPr="0092458B">
        <w:rPr>
          <w:rFonts w:cstheme="minorHAnsi"/>
          <w:sz w:val="24"/>
          <w:szCs w:val="24"/>
          <w:lang w:val="en-US" w:bidi="en-US"/>
        </w:rPr>
        <w:t xml:space="preserve">Isham A, </w:t>
      </w:r>
      <w:proofErr w:type="spellStart"/>
      <w:r w:rsidRPr="0092458B">
        <w:rPr>
          <w:rFonts w:cstheme="minorHAnsi"/>
          <w:sz w:val="24"/>
          <w:szCs w:val="24"/>
          <w:lang w:val="en-US" w:bidi="en-US"/>
        </w:rPr>
        <w:t>Verfuerth</w:t>
      </w:r>
      <w:proofErr w:type="spellEnd"/>
      <w:r w:rsidRPr="0092458B">
        <w:rPr>
          <w:rFonts w:cstheme="minorHAnsi"/>
          <w:sz w:val="24"/>
          <w:szCs w:val="24"/>
          <w:lang w:val="en-US" w:bidi="en-US"/>
        </w:rPr>
        <w:t xml:space="preserve"> C, Armstrong A, Elf P, </w:t>
      </w:r>
      <w:proofErr w:type="spellStart"/>
      <w:r w:rsidRPr="0092458B">
        <w:rPr>
          <w:rFonts w:cstheme="minorHAnsi"/>
          <w:sz w:val="24"/>
          <w:szCs w:val="24"/>
          <w:lang w:val="en-US" w:bidi="en-US"/>
        </w:rPr>
        <w:t>Gatersleben</w:t>
      </w:r>
      <w:proofErr w:type="spellEnd"/>
      <w:r w:rsidRPr="0092458B">
        <w:rPr>
          <w:rFonts w:cstheme="minorHAnsi"/>
          <w:sz w:val="24"/>
          <w:szCs w:val="24"/>
          <w:lang w:val="en-US" w:bidi="en-US"/>
        </w:rPr>
        <w:t xml:space="preserve"> B (2022) The problematic role of materialistic values in the pursuit of sustainable well-being. International Journal of Environmental Research and Public Health 19: 1-20. </w:t>
      </w:r>
    </w:p>
    <w:p w14:paraId="1BCB180F" w14:textId="77777777" w:rsidR="00D94033" w:rsidRPr="0092458B" w:rsidRDefault="00D94033" w:rsidP="00A640DF">
      <w:pPr>
        <w:spacing w:after="0" w:line="240" w:lineRule="auto"/>
        <w:rPr>
          <w:rFonts w:cstheme="minorHAnsi"/>
          <w:sz w:val="24"/>
          <w:szCs w:val="24"/>
          <w:lang w:val="en-US"/>
        </w:rPr>
      </w:pPr>
    </w:p>
    <w:p w14:paraId="7667C610" w14:textId="18309B86" w:rsidR="00214CE4" w:rsidRPr="0092458B" w:rsidRDefault="00214CE4" w:rsidP="00A640DF">
      <w:pPr>
        <w:spacing w:after="0" w:line="240" w:lineRule="auto"/>
        <w:rPr>
          <w:rFonts w:cstheme="minorHAnsi"/>
          <w:sz w:val="24"/>
          <w:szCs w:val="24"/>
          <w:lang w:val="en-US"/>
        </w:rPr>
      </w:pPr>
      <w:r w:rsidRPr="0092458B">
        <w:rPr>
          <w:rFonts w:cstheme="minorHAnsi"/>
          <w:sz w:val="24"/>
          <w:szCs w:val="24"/>
          <w:lang w:val="en-US" w:bidi="en-US"/>
        </w:rPr>
        <w:t xml:space="preserve">Jackson T (2016) Prosperity without growth. Foundations for the economy of tomorrow. Taylor &amp; Francis, Milton Park </w:t>
      </w:r>
    </w:p>
    <w:p w14:paraId="0118640A" w14:textId="77777777" w:rsidR="00D94033" w:rsidRPr="0092458B" w:rsidRDefault="00D94033" w:rsidP="00A640DF">
      <w:pPr>
        <w:spacing w:after="0" w:line="240" w:lineRule="auto"/>
        <w:rPr>
          <w:rFonts w:cstheme="minorHAnsi"/>
          <w:sz w:val="24"/>
          <w:szCs w:val="24"/>
          <w:lang w:val="en-US"/>
        </w:rPr>
      </w:pPr>
    </w:p>
    <w:p w14:paraId="61FE8E3B" w14:textId="5EFF3EC8" w:rsidR="001B0776" w:rsidRPr="0092458B" w:rsidRDefault="001B0776" w:rsidP="00A640DF">
      <w:pPr>
        <w:spacing w:after="0" w:line="240" w:lineRule="auto"/>
        <w:rPr>
          <w:rFonts w:cstheme="minorHAnsi"/>
          <w:sz w:val="24"/>
          <w:szCs w:val="24"/>
          <w:lang w:val="en-US"/>
        </w:rPr>
      </w:pPr>
      <w:r w:rsidRPr="0092458B">
        <w:rPr>
          <w:rFonts w:cstheme="minorHAnsi"/>
          <w:sz w:val="24"/>
          <w:szCs w:val="24"/>
          <w:lang w:val="en-US" w:bidi="en-US"/>
        </w:rPr>
        <w:t>Jackson T (2021) Post growth – life after capitalism. Polity Press, Cambridge</w:t>
      </w:r>
    </w:p>
    <w:p w14:paraId="14EFE34A" w14:textId="77777777" w:rsidR="000B67CB" w:rsidRPr="0092458B" w:rsidRDefault="000B67CB" w:rsidP="00A640DF">
      <w:pPr>
        <w:spacing w:after="0" w:line="240" w:lineRule="auto"/>
        <w:rPr>
          <w:rFonts w:cstheme="minorHAnsi"/>
          <w:sz w:val="24"/>
          <w:szCs w:val="24"/>
          <w:lang w:val="en-US"/>
        </w:rPr>
      </w:pPr>
    </w:p>
    <w:p w14:paraId="21C3B99C" w14:textId="485D31B2" w:rsidR="00D94033" w:rsidRPr="0092458B" w:rsidRDefault="00EF542E" w:rsidP="00A640DF">
      <w:pPr>
        <w:spacing w:after="0" w:line="240" w:lineRule="auto"/>
        <w:rPr>
          <w:rFonts w:cstheme="minorHAnsi"/>
          <w:sz w:val="24"/>
          <w:szCs w:val="24"/>
          <w:lang w:val="en-US"/>
        </w:rPr>
      </w:pPr>
      <w:r w:rsidRPr="0092458B">
        <w:rPr>
          <w:rFonts w:cstheme="minorHAnsi"/>
          <w:sz w:val="24"/>
          <w:szCs w:val="24"/>
          <w:lang w:val="en-US" w:bidi="en-US"/>
        </w:rPr>
        <w:t xml:space="preserve">Jackson A, Jackson T &amp; van </w:t>
      </w:r>
      <w:proofErr w:type="spellStart"/>
      <w:r w:rsidRPr="0092458B">
        <w:rPr>
          <w:rFonts w:cstheme="minorHAnsi"/>
          <w:sz w:val="24"/>
          <w:szCs w:val="24"/>
          <w:lang w:val="en-US" w:bidi="en-US"/>
        </w:rPr>
        <w:t>Lerven</w:t>
      </w:r>
      <w:proofErr w:type="spellEnd"/>
      <w:r w:rsidRPr="0092458B">
        <w:rPr>
          <w:rFonts w:cstheme="minorHAnsi"/>
          <w:sz w:val="24"/>
          <w:szCs w:val="24"/>
          <w:lang w:val="en-US" w:bidi="en-US"/>
        </w:rPr>
        <w:t xml:space="preserve">, F (2022) Beyond the </w:t>
      </w:r>
      <w:proofErr w:type="spellStart"/>
      <w:r w:rsidRPr="0092458B">
        <w:rPr>
          <w:rFonts w:cstheme="minorHAnsi"/>
          <w:sz w:val="24"/>
          <w:szCs w:val="24"/>
          <w:lang w:val="en-US" w:bidi="en-US"/>
        </w:rPr>
        <w:t>debat</w:t>
      </w:r>
      <w:proofErr w:type="spellEnd"/>
      <w:r w:rsidRPr="0092458B">
        <w:rPr>
          <w:rFonts w:cstheme="minorHAnsi"/>
          <w:sz w:val="24"/>
          <w:szCs w:val="24"/>
          <w:lang w:val="en-US" w:bidi="en-US"/>
        </w:rPr>
        <w:t xml:space="preserve"> controversy – re-framing fiscal and monetary policy for a post-pandemic era. Centre for the Understanding of Sustainable Prosperity (CUSP) working paper no. 31. </w:t>
      </w:r>
    </w:p>
    <w:p w14:paraId="3DE859FF" w14:textId="77777777" w:rsidR="00244AAC" w:rsidRPr="0092458B" w:rsidRDefault="00244AAC" w:rsidP="00A640DF">
      <w:pPr>
        <w:spacing w:after="0" w:line="240" w:lineRule="auto"/>
        <w:rPr>
          <w:rFonts w:cstheme="minorHAnsi"/>
          <w:sz w:val="24"/>
          <w:szCs w:val="24"/>
          <w:lang w:val="en-US"/>
        </w:rPr>
      </w:pPr>
    </w:p>
    <w:p w14:paraId="633CB930" w14:textId="6299B602" w:rsidR="0043550E" w:rsidRPr="0092458B" w:rsidRDefault="0043550E" w:rsidP="00A640DF">
      <w:pPr>
        <w:spacing w:after="0" w:line="240" w:lineRule="auto"/>
        <w:rPr>
          <w:rFonts w:cstheme="minorHAnsi"/>
          <w:sz w:val="24"/>
          <w:szCs w:val="24"/>
          <w:lang w:val="en-US"/>
        </w:rPr>
      </w:pPr>
      <w:r w:rsidRPr="0092458B">
        <w:rPr>
          <w:rFonts w:cstheme="minorHAnsi"/>
          <w:sz w:val="24"/>
          <w:szCs w:val="24"/>
          <w:lang w:val="en-US" w:bidi="en-US"/>
        </w:rPr>
        <w:t xml:space="preserve">Jakob M, Lamb W, Steckel J, </w:t>
      </w:r>
      <w:proofErr w:type="spellStart"/>
      <w:r w:rsidRPr="0092458B">
        <w:rPr>
          <w:rFonts w:cstheme="minorHAnsi"/>
          <w:sz w:val="24"/>
          <w:szCs w:val="24"/>
          <w:lang w:val="en-US" w:bidi="en-US"/>
        </w:rPr>
        <w:t>Flachsland</w:t>
      </w:r>
      <w:proofErr w:type="spellEnd"/>
      <w:r w:rsidRPr="0092458B">
        <w:rPr>
          <w:rFonts w:cstheme="minorHAnsi"/>
          <w:sz w:val="24"/>
          <w:szCs w:val="24"/>
          <w:lang w:val="en-US" w:bidi="en-US"/>
        </w:rPr>
        <w:t xml:space="preserve"> C, Edenhofer, O (2020) Understanding different perspectives on economic growth and climate policy. WIREs Climate Change 11 (6): 1-17</w:t>
      </w:r>
    </w:p>
    <w:p w14:paraId="4C0E78D1" w14:textId="77777777" w:rsidR="00D94033" w:rsidRPr="0092458B" w:rsidRDefault="00D94033" w:rsidP="00A640DF">
      <w:pPr>
        <w:spacing w:after="0" w:line="240" w:lineRule="auto"/>
        <w:rPr>
          <w:rFonts w:cstheme="minorHAnsi"/>
          <w:sz w:val="24"/>
          <w:szCs w:val="24"/>
          <w:lang w:val="en-US"/>
        </w:rPr>
      </w:pPr>
    </w:p>
    <w:p w14:paraId="52082C54" w14:textId="0EEA42B9" w:rsidR="009E0478" w:rsidRPr="0092458B" w:rsidRDefault="009E0478" w:rsidP="00A640DF">
      <w:pPr>
        <w:spacing w:after="0" w:line="240" w:lineRule="auto"/>
        <w:rPr>
          <w:rFonts w:cstheme="minorHAnsi"/>
          <w:sz w:val="24"/>
          <w:szCs w:val="24"/>
          <w:lang w:val="en-US"/>
        </w:rPr>
      </w:pPr>
      <w:proofErr w:type="spellStart"/>
      <w:r w:rsidRPr="0092458B">
        <w:rPr>
          <w:rFonts w:cstheme="minorHAnsi"/>
          <w:sz w:val="24"/>
          <w:szCs w:val="24"/>
          <w:lang w:val="en-US" w:bidi="en-US"/>
        </w:rPr>
        <w:t>Jaureguiberry</w:t>
      </w:r>
      <w:proofErr w:type="spellEnd"/>
      <w:r w:rsidRPr="0092458B">
        <w:rPr>
          <w:rFonts w:cstheme="minorHAnsi"/>
          <w:sz w:val="24"/>
          <w:szCs w:val="24"/>
          <w:lang w:val="en-US" w:bidi="en-US"/>
        </w:rPr>
        <w:t xml:space="preserve"> P, </w:t>
      </w:r>
      <w:proofErr w:type="spellStart"/>
      <w:r w:rsidRPr="0092458B">
        <w:rPr>
          <w:rFonts w:cstheme="minorHAnsi"/>
          <w:sz w:val="24"/>
          <w:szCs w:val="24"/>
          <w:lang w:val="en-US" w:bidi="en-US"/>
        </w:rPr>
        <w:t>Titeaux</w:t>
      </w:r>
      <w:proofErr w:type="spellEnd"/>
      <w:r w:rsidRPr="0092458B">
        <w:rPr>
          <w:rFonts w:cstheme="minorHAnsi"/>
          <w:sz w:val="24"/>
          <w:szCs w:val="24"/>
          <w:lang w:val="en-US" w:bidi="en-US"/>
        </w:rPr>
        <w:t xml:space="preserve"> N, Wiemers M, Bowler D, </w:t>
      </w:r>
      <w:proofErr w:type="spellStart"/>
      <w:r w:rsidRPr="0092458B">
        <w:rPr>
          <w:rFonts w:cstheme="minorHAnsi"/>
          <w:sz w:val="24"/>
          <w:szCs w:val="24"/>
          <w:lang w:val="en-US" w:bidi="en-US"/>
        </w:rPr>
        <w:t>Cosciemes</w:t>
      </w:r>
      <w:proofErr w:type="spellEnd"/>
      <w:r w:rsidRPr="0092458B">
        <w:rPr>
          <w:rFonts w:cstheme="minorHAnsi"/>
          <w:sz w:val="24"/>
          <w:szCs w:val="24"/>
          <w:lang w:val="en-US" w:bidi="en-US"/>
        </w:rPr>
        <w:t xml:space="preserve"> L, Golden A, Guerra, C, Jacob U, Takahashi Y, </w:t>
      </w:r>
      <w:proofErr w:type="spellStart"/>
      <w:r w:rsidRPr="0092458B">
        <w:rPr>
          <w:rFonts w:cstheme="minorHAnsi"/>
          <w:sz w:val="24"/>
          <w:szCs w:val="24"/>
          <w:lang w:val="en-US" w:bidi="en-US"/>
        </w:rPr>
        <w:t>Settele</w:t>
      </w:r>
      <w:proofErr w:type="spellEnd"/>
      <w:r w:rsidRPr="0092458B">
        <w:rPr>
          <w:rFonts w:cstheme="minorHAnsi"/>
          <w:sz w:val="24"/>
          <w:szCs w:val="24"/>
          <w:lang w:val="en-US" w:bidi="en-US"/>
        </w:rPr>
        <w:t xml:space="preserve"> J, Diaz S, Molnar Z, Purvis, A (2022) The direct drivers of recent global anthropogenic biodiversity loss. Science Advances 8 (Online)</w:t>
      </w:r>
    </w:p>
    <w:p w14:paraId="3C1EA395" w14:textId="77777777" w:rsidR="00D94033" w:rsidRPr="0092458B" w:rsidRDefault="00D94033" w:rsidP="00A640DF">
      <w:pPr>
        <w:spacing w:after="0" w:line="240" w:lineRule="auto"/>
        <w:rPr>
          <w:rFonts w:cstheme="minorHAnsi"/>
          <w:sz w:val="24"/>
          <w:szCs w:val="24"/>
          <w:lang w:val="en-US"/>
        </w:rPr>
      </w:pPr>
    </w:p>
    <w:p w14:paraId="75213CAF" w14:textId="1AB8BC5B" w:rsidR="00F44FF2" w:rsidRPr="0092458B" w:rsidRDefault="00F44FF2" w:rsidP="00A640DF">
      <w:pPr>
        <w:spacing w:after="0" w:line="240" w:lineRule="auto"/>
        <w:rPr>
          <w:rFonts w:cstheme="minorHAnsi"/>
          <w:sz w:val="24"/>
          <w:szCs w:val="24"/>
          <w:lang w:val="en-US"/>
        </w:rPr>
      </w:pPr>
      <w:r w:rsidRPr="0092458B">
        <w:rPr>
          <w:rFonts w:cstheme="minorHAnsi"/>
          <w:sz w:val="24"/>
          <w:szCs w:val="24"/>
          <w:lang w:val="en-US" w:bidi="en-US"/>
        </w:rPr>
        <w:t xml:space="preserve">Kallis G (2019) Socialism without growth. Capitalism Nature Socialism 30 (2): 189-206. </w:t>
      </w:r>
    </w:p>
    <w:p w14:paraId="2C15C4E6" w14:textId="77777777" w:rsidR="00D94033" w:rsidRPr="0092458B" w:rsidRDefault="00D94033" w:rsidP="00A640DF">
      <w:pPr>
        <w:spacing w:after="0" w:line="240" w:lineRule="auto"/>
        <w:rPr>
          <w:rFonts w:cstheme="minorHAnsi"/>
          <w:sz w:val="24"/>
          <w:szCs w:val="24"/>
          <w:lang w:val="en-US"/>
        </w:rPr>
      </w:pPr>
    </w:p>
    <w:p w14:paraId="7B8E0A5C" w14:textId="3970811B" w:rsidR="009752D1" w:rsidRPr="0092458B" w:rsidRDefault="009752D1" w:rsidP="00A640DF">
      <w:pPr>
        <w:spacing w:after="0" w:line="240" w:lineRule="auto"/>
        <w:rPr>
          <w:rFonts w:cstheme="minorHAnsi"/>
          <w:sz w:val="24"/>
          <w:szCs w:val="24"/>
          <w:lang w:val="en-US"/>
        </w:rPr>
      </w:pPr>
      <w:r w:rsidRPr="0092458B">
        <w:rPr>
          <w:rFonts w:cstheme="minorHAnsi"/>
          <w:sz w:val="24"/>
          <w:szCs w:val="24"/>
          <w:lang w:val="en-US" w:bidi="en-US"/>
        </w:rPr>
        <w:t xml:space="preserve">Kallis G, Demaria F, </w:t>
      </w:r>
      <w:proofErr w:type="spellStart"/>
      <w:r w:rsidRPr="0092458B">
        <w:rPr>
          <w:rFonts w:cstheme="minorHAnsi"/>
          <w:sz w:val="24"/>
          <w:szCs w:val="24"/>
          <w:lang w:val="en-US" w:bidi="en-US"/>
        </w:rPr>
        <w:t>D’Alisa</w:t>
      </w:r>
      <w:proofErr w:type="spellEnd"/>
      <w:r w:rsidRPr="0092458B">
        <w:rPr>
          <w:rFonts w:cstheme="minorHAnsi"/>
          <w:sz w:val="24"/>
          <w:szCs w:val="24"/>
          <w:lang w:val="en-US" w:bidi="en-US"/>
        </w:rPr>
        <w:t xml:space="preserve"> G (2015) Introduction: Degrowth. In: </w:t>
      </w:r>
      <w:proofErr w:type="spellStart"/>
      <w:r w:rsidRPr="0092458B">
        <w:rPr>
          <w:rFonts w:cstheme="minorHAnsi"/>
          <w:sz w:val="24"/>
          <w:szCs w:val="24"/>
          <w:lang w:val="en-US" w:bidi="en-US"/>
        </w:rPr>
        <w:t>D’Alisa</w:t>
      </w:r>
      <w:proofErr w:type="spellEnd"/>
      <w:r w:rsidRPr="0092458B">
        <w:rPr>
          <w:rFonts w:cstheme="minorHAnsi"/>
          <w:sz w:val="24"/>
          <w:szCs w:val="24"/>
          <w:lang w:val="en-US" w:bidi="en-US"/>
        </w:rPr>
        <w:t xml:space="preserve"> G, Demaria F, Kallis G, (eds.) Degrowth: A vocabulary for a new era. Routledge, Abingdon, p. 1-17. </w:t>
      </w:r>
    </w:p>
    <w:p w14:paraId="71E8F013" w14:textId="77777777" w:rsidR="00D94033" w:rsidRPr="0092458B" w:rsidRDefault="00D94033" w:rsidP="00A640DF">
      <w:pPr>
        <w:spacing w:after="0" w:line="240" w:lineRule="auto"/>
        <w:rPr>
          <w:rFonts w:cstheme="minorHAnsi"/>
          <w:sz w:val="24"/>
          <w:szCs w:val="24"/>
          <w:lang w:val="en-US"/>
        </w:rPr>
      </w:pPr>
    </w:p>
    <w:p w14:paraId="219AAFB7" w14:textId="04CAC4B4" w:rsidR="00F62E0C" w:rsidRPr="0092458B" w:rsidRDefault="00F62E0C" w:rsidP="00A640DF">
      <w:pPr>
        <w:spacing w:after="0" w:line="240" w:lineRule="auto"/>
        <w:rPr>
          <w:rFonts w:cstheme="minorHAnsi"/>
          <w:sz w:val="24"/>
          <w:szCs w:val="24"/>
          <w:lang w:val="en-US"/>
        </w:rPr>
      </w:pPr>
      <w:r w:rsidRPr="0092458B">
        <w:rPr>
          <w:rFonts w:cstheme="minorHAnsi"/>
          <w:sz w:val="24"/>
          <w:szCs w:val="24"/>
          <w:lang w:val="en-US" w:bidi="en-US"/>
        </w:rPr>
        <w:t xml:space="preserve">Kallis G, Kostakis V, Lange S, Muraca B, Paulson S &amp; Schmelzer M (2018) Research on degrowth. Annual Review of Environment and Resources: 291-316. </w:t>
      </w:r>
    </w:p>
    <w:p w14:paraId="1C0B322C" w14:textId="77777777" w:rsidR="00D94033" w:rsidRPr="0092458B" w:rsidRDefault="00D94033" w:rsidP="00A640DF">
      <w:pPr>
        <w:spacing w:after="0" w:line="240" w:lineRule="auto"/>
        <w:rPr>
          <w:rFonts w:cstheme="minorHAnsi"/>
          <w:sz w:val="24"/>
          <w:szCs w:val="24"/>
          <w:lang w:val="en-US"/>
        </w:rPr>
      </w:pPr>
    </w:p>
    <w:p w14:paraId="04AB92EC" w14:textId="06343613" w:rsidR="00F445CD" w:rsidRPr="0092458B" w:rsidRDefault="00467E3E" w:rsidP="00A640DF">
      <w:pPr>
        <w:spacing w:after="0" w:line="240" w:lineRule="auto"/>
        <w:rPr>
          <w:rFonts w:cstheme="minorHAnsi"/>
          <w:sz w:val="24"/>
          <w:szCs w:val="24"/>
          <w:lang w:val="en-US"/>
        </w:rPr>
      </w:pPr>
      <w:r w:rsidRPr="0092458B">
        <w:rPr>
          <w:rFonts w:cstheme="minorHAnsi"/>
          <w:sz w:val="24"/>
          <w:szCs w:val="24"/>
          <w:lang w:val="en-US" w:bidi="en-US"/>
        </w:rPr>
        <w:t xml:space="preserve">Khan J, Emilsson K, Fritz M, Koch M, Hildingsson R, Johansson H (2022) Ecological ceiling and social floor: Public support for eco-social policies in Sweden. Sustainability Science 2022: 1-14. </w:t>
      </w:r>
    </w:p>
    <w:p w14:paraId="511E785F" w14:textId="77777777" w:rsidR="00D94033" w:rsidRPr="0092458B" w:rsidRDefault="00D94033" w:rsidP="00A640DF">
      <w:pPr>
        <w:spacing w:after="0" w:line="240" w:lineRule="auto"/>
        <w:rPr>
          <w:rFonts w:cstheme="minorHAnsi"/>
          <w:sz w:val="24"/>
          <w:szCs w:val="24"/>
          <w:lang w:val="en-US"/>
        </w:rPr>
      </w:pPr>
    </w:p>
    <w:p w14:paraId="2570B2FF" w14:textId="0EFE6968" w:rsidR="00A10783" w:rsidRPr="0092458B" w:rsidRDefault="00A10783" w:rsidP="00A640DF">
      <w:pPr>
        <w:spacing w:after="0" w:line="240" w:lineRule="auto"/>
        <w:rPr>
          <w:rFonts w:cstheme="minorHAnsi"/>
          <w:sz w:val="24"/>
          <w:szCs w:val="24"/>
          <w:lang w:val="en-US"/>
        </w:rPr>
      </w:pPr>
      <w:r w:rsidRPr="0092458B">
        <w:rPr>
          <w:rFonts w:cstheme="minorHAnsi"/>
          <w:sz w:val="24"/>
          <w:szCs w:val="24"/>
          <w:lang w:val="en-US" w:bidi="en-US"/>
        </w:rPr>
        <w:t xml:space="preserve">Kenny J, </w:t>
      </w:r>
      <w:proofErr w:type="spellStart"/>
      <w:r w:rsidRPr="0092458B">
        <w:rPr>
          <w:rFonts w:cstheme="minorHAnsi"/>
          <w:sz w:val="24"/>
          <w:szCs w:val="24"/>
          <w:lang w:val="en-US" w:bidi="en-US"/>
        </w:rPr>
        <w:t>Langsæther</w:t>
      </w:r>
      <w:proofErr w:type="spellEnd"/>
      <w:r w:rsidRPr="0092458B">
        <w:rPr>
          <w:rFonts w:cstheme="minorHAnsi"/>
          <w:sz w:val="24"/>
          <w:szCs w:val="24"/>
          <w:lang w:val="en-US" w:bidi="en-US"/>
        </w:rPr>
        <w:t xml:space="preserve"> P (2022) Environmentalism as an independent dimension of political preferences. European Journal of Political Research (online)</w:t>
      </w:r>
    </w:p>
    <w:p w14:paraId="2038F69E" w14:textId="77777777" w:rsidR="00D94033" w:rsidRPr="0092458B" w:rsidRDefault="00D94033" w:rsidP="00A640DF">
      <w:pPr>
        <w:spacing w:after="0" w:line="240" w:lineRule="auto"/>
        <w:rPr>
          <w:rFonts w:cstheme="minorHAnsi"/>
          <w:sz w:val="24"/>
          <w:szCs w:val="24"/>
          <w:lang w:val="en-US"/>
        </w:rPr>
      </w:pPr>
    </w:p>
    <w:p w14:paraId="4B5690BB" w14:textId="665684FE" w:rsidR="00AF1013" w:rsidRPr="0092458B" w:rsidRDefault="00AF1013" w:rsidP="00A640DF">
      <w:pPr>
        <w:spacing w:after="0" w:line="240" w:lineRule="auto"/>
        <w:rPr>
          <w:rFonts w:cstheme="minorHAnsi"/>
          <w:sz w:val="24"/>
          <w:szCs w:val="24"/>
          <w:lang w:val="en-US"/>
        </w:rPr>
      </w:pPr>
      <w:r w:rsidRPr="0092458B">
        <w:rPr>
          <w:rFonts w:cstheme="minorHAnsi"/>
          <w:sz w:val="24"/>
          <w:szCs w:val="24"/>
          <w:lang w:val="en-US" w:bidi="en-US"/>
        </w:rPr>
        <w:t>Ketterer H (2021) Living differently? A feminist-</w:t>
      </w:r>
      <w:proofErr w:type="spellStart"/>
      <w:r w:rsidRPr="0092458B">
        <w:rPr>
          <w:rFonts w:cstheme="minorHAnsi"/>
          <w:sz w:val="24"/>
          <w:szCs w:val="24"/>
          <w:lang w:val="en-US" w:bidi="en-US"/>
        </w:rPr>
        <w:t>Bourdieausian</w:t>
      </w:r>
      <w:proofErr w:type="spellEnd"/>
      <w:r w:rsidRPr="0092458B">
        <w:rPr>
          <w:rFonts w:cstheme="minorHAnsi"/>
          <w:sz w:val="24"/>
          <w:szCs w:val="24"/>
          <w:lang w:val="en-US" w:bidi="en-US"/>
        </w:rPr>
        <w:t xml:space="preserve"> analysis of the transformative power of basic income. The Sociological Review 69 (6): 1309-1324</w:t>
      </w:r>
    </w:p>
    <w:p w14:paraId="3990EC99" w14:textId="77777777" w:rsidR="00D94033" w:rsidRPr="0092458B" w:rsidRDefault="00D94033" w:rsidP="00A640DF">
      <w:pPr>
        <w:spacing w:after="0" w:line="240" w:lineRule="auto"/>
        <w:rPr>
          <w:rFonts w:cstheme="minorHAnsi"/>
          <w:sz w:val="24"/>
          <w:szCs w:val="24"/>
          <w:lang w:val="en-US"/>
        </w:rPr>
      </w:pPr>
    </w:p>
    <w:p w14:paraId="6C370263" w14:textId="29338C0F" w:rsidR="006E1A35" w:rsidRPr="0092458B" w:rsidRDefault="006E1A35" w:rsidP="00A640DF">
      <w:pPr>
        <w:spacing w:after="0" w:line="240" w:lineRule="auto"/>
        <w:rPr>
          <w:rFonts w:cstheme="minorHAnsi"/>
          <w:sz w:val="24"/>
          <w:szCs w:val="24"/>
          <w:lang w:val="en-US"/>
        </w:rPr>
      </w:pPr>
      <w:r w:rsidRPr="0092458B">
        <w:rPr>
          <w:rFonts w:cstheme="minorHAnsi"/>
          <w:sz w:val="24"/>
          <w:szCs w:val="24"/>
          <w:lang w:val="en-US" w:bidi="en-US"/>
        </w:rPr>
        <w:t xml:space="preserve">Kim Y, Sommet N, </w:t>
      </w:r>
      <w:proofErr w:type="spellStart"/>
      <w:r w:rsidRPr="0092458B">
        <w:rPr>
          <w:rFonts w:cstheme="minorHAnsi"/>
          <w:sz w:val="24"/>
          <w:szCs w:val="24"/>
          <w:lang w:val="en-US" w:bidi="en-US"/>
        </w:rPr>
        <w:t>Jinkyung</w:t>
      </w:r>
      <w:proofErr w:type="spellEnd"/>
      <w:r w:rsidRPr="0092458B">
        <w:rPr>
          <w:rFonts w:cstheme="minorHAnsi"/>
          <w:sz w:val="24"/>
          <w:szCs w:val="24"/>
          <w:lang w:val="en-US" w:bidi="en-US"/>
        </w:rPr>
        <w:t xml:space="preserve"> N, Spini D (2022) Social class – not income inequality – predicts social and institutional trust. Social Psychological and Personality Science 13 (1): 186-198</w:t>
      </w:r>
    </w:p>
    <w:p w14:paraId="63AD6A49" w14:textId="77777777" w:rsidR="00D94033" w:rsidRPr="0092458B" w:rsidRDefault="00D94033" w:rsidP="00A640DF">
      <w:pPr>
        <w:spacing w:after="0" w:line="240" w:lineRule="auto"/>
        <w:rPr>
          <w:rFonts w:cstheme="minorHAnsi"/>
          <w:sz w:val="24"/>
          <w:szCs w:val="24"/>
          <w:lang w:val="en-US"/>
        </w:rPr>
      </w:pPr>
    </w:p>
    <w:p w14:paraId="52335054" w14:textId="5460B6C7" w:rsidR="00BD6DBB" w:rsidRPr="0092458B" w:rsidRDefault="00BD6DBB" w:rsidP="00A640DF">
      <w:pPr>
        <w:spacing w:after="0" w:line="240" w:lineRule="auto"/>
        <w:rPr>
          <w:rFonts w:cstheme="minorHAnsi"/>
          <w:sz w:val="24"/>
          <w:szCs w:val="24"/>
          <w:lang w:val="en-US"/>
        </w:rPr>
      </w:pPr>
      <w:r w:rsidRPr="0092458B">
        <w:rPr>
          <w:rFonts w:cstheme="minorHAnsi"/>
          <w:sz w:val="24"/>
          <w:szCs w:val="24"/>
          <w:lang w:val="en-US" w:bidi="en-US"/>
        </w:rPr>
        <w:lastRenderedPageBreak/>
        <w:t xml:space="preserve">King L, Savin I, Drews S (2023) Shades of green growth </w:t>
      </w:r>
      <w:proofErr w:type="spellStart"/>
      <w:r w:rsidRPr="0092458B">
        <w:rPr>
          <w:rFonts w:cstheme="minorHAnsi"/>
          <w:sz w:val="24"/>
          <w:szCs w:val="24"/>
          <w:lang w:val="en-US" w:bidi="en-US"/>
        </w:rPr>
        <w:t>scepticism</w:t>
      </w:r>
      <w:proofErr w:type="spellEnd"/>
      <w:r w:rsidRPr="0092458B">
        <w:rPr>
          <w:rFonts w:cstheme="minorHAnsi"/>
          <w:sz w:val="24"/>
          <w:szCs w:val="24"/>
          <w:lang w:val="en-US" w:bidi="en-US"/>
        </w:rPr>
        <w:t xml:space="preserve"> among climate policy researchers. Nature Sustainability (online)</w:t>
      </w:r>
    </w:p>
    <w:p w14:paraId="7BFFB7C1" w14:textId="77777777" w:rsidR="005579C7" w:rsidRPr="0092458B" w:rsidRDefault="005579C7" w:rsidP="00A640DF">
      <w:pPr>
        <w:spacing w:after="0" w:line="240" w:lineRule="auto"/>
        <w:rPr>
          <w:rFonts w:cstheme="minorHAnsi"/>
          <w:sz w:val="24"/>
          <w:szCs w:val="24"/>
          <w:lang w:val="en-US"/>
        </w:rPr>
      </w:pPr>
    </w:p>
    <w:p w14:paraId="47B5B075" w14:textId="72E4E508" w:rsidR="00812390" w:rsidRPr="0092458B" w:rsidRDefault="00812390" w:rsidP="00A640DF">
      <w:pPr>
        <w:spacing w:after="0" w:line="240" w:lineRule="auto"/>
        <w:rPr>
          <w:rFonts w:cstheme="minorHAnsi"/>
          <w:sz w:val="24"/>
          <w:szCs w:val="24"/>
          <w:lang w:val="en-US"/>
        </w:rPr>
      </w:pPr>
      <w:r w:rsidRPr="0092458B">
        <w:rPr>
          <w:rFonts w:cstheme="minorHAnsi"/>
          <w:sz w:val="24"/>
          <w:szCs w:val="24"/>
          <w:lang w:val="en-US" w:bidi="en-US"/>
        </w:rPr>
        <w:t xml:space="preserve">Koch M (2022a) State-civil society relations in Gramsci, </w:t>
      </w:r>
      <w:proofErr w:type="spellStart"/>
      <w:r w:rsidRPr="0092458B">
        <w:rPr>
          <w:rFonts w:cstheme="minorHAnsi"/>
          <w:sz w:val="24"/>
          <w:szCs w:val="24"/>
          <w:lang w:val="en-US" w:bidi="en-US"/>
        </w:rPr>
        <w:t>Poulantzas</w:t>
      </w:r>
      <w:proofErr w:type="spellEnd"/>
      <w:r w:rsidRPr="0092458B">
        <w:rPr>
          <w:rFonts w:cstheme="minorHAnsi"/>
          <w:sz w:val="24"/>
          <w:szCs w:val="24"/>
          <w:lang w:val="en-US" w:bidi="en-US"/>
        </w:rPr>
        <w:t xml:space="preserve"> and Bourdieu: Strategic implications for the degrowth movement. Ecological Economics 193: 1-9</w:t>
      </w:r>
    </w:p>
    <w:p w14:paraId="3D5B181D" w14:textId="77777777" w:rsidR="00D94033" w:rsidRPr="0092458B" w:rsidRDefault="00D94033" w:rsidP="00A640DF">
      <w:pPr>
        <w:spacing w:after="0" w:line="240" w:lineRule="auto"/>
        <w:rPr>
          <w:rFonts w:cstheme="minorHAnsi"/>
          <w:sz w:val="24"/>
          <w:szCs w:val="24"/>
          <w:lang w:val="en-US"/>
        </w:rPr>
      </w:pPr>
    </w:p>
    <w:p w14:paraId="4A345A5C" w14:textId="42F49DEB" w:rsidR="00D051BD" w:rsidRPr="0092458B" w:rsidRDefault="003E1F27" w:rsidP="00A640DF">
      <w:pPr>
        <w:spacing w:after="0" w:line="240" w:lineRule="auto"/>
        <w:rPr>
          <w:rFonts w:cstheme="minorHAnsi"/>
          <w:sz w:val="24"/>
          <w:szCs w:val="24"/>
          <w:lang w:val="en-US"/>
        </w:rPr>
      </w:pPr>
      <w:r w:rsidRPr="0092458B">
        <w:rPr>
          <w:rFonts w:cstheme="minorHAnsi"/>
          <w:sz w:val="24"/>
          <w:szCs w:val="24"/>
          <w:lang w:val="en-US" w:bidi="en-US"/>
        </w:rPr>
        <w:t xml:space="preserve">Koch M (2022b) Rethinking state-civil society relations. In: Barlow N, Regen L, </w:t>
      </w:r>
      <w:proofErr w:type="spellStart"/>
      <w:r w:rsidRPr="0092458B">
        <w:rPr>
          <w:rFonts w:cstheme="minorHAnsi"/>
          <w:sz w:val="24"/>
          <w:szCs w:val="24"/>
          <w:lang w:val="en-US" w:bidi="en-US"/>
        </w:rPr>
        <w:t>Cadiou</w:t>
      </w:r>
      <w:proofErr w:type="spellEnd"/>
      <w:r w:rsidRPr="0092458B">
        <w:rPr>
          <w:rFonts w:cstheme="minorHAnsi"/>
          <w:sz w:val="24"/>
          <w:szCs w:val="24"/>
          <w:lang w:val="en-US" w:bidi="en-US"/>
        </w:rPr>
        <w:t xml:space="preserve"> N, </w:t>
      </w:r>
      <w:proofErr w:type="spellStart"/>
      <w:r w:rsidRPr="0092458B">
        <w:rPr>
          <w:rFonts w:cstheme="minorHAnsi"/>
          <w:sz w:val="24"/>
          <w:szCs w:val="24"/>
          <w:lang w:val="en-US" w:bidi="en-US"/>
        </w:rPr>
        <w:t>Chertkovskata</w:t>
      </w:r>
      <w:proofErr w:type="spellEnd"/>
      <w:r w:rsidRPr="0092458B">
        <w:rPr>
          <w:rFonts w:cstheme="minorHAnsi"/>
          <w:sz w:val="24"/>
          <w:szCs w:val="24"/>
          <w:lang w:val="en-US" w:bidi="en-US"/>
        </w:rPr>
        <w:t xml:space="preserve"> E, Hollweg M, Plank, C, Schulken, M, Wolf V (eds.) Degrowth &amp; strategy. How to bring about social-ecological transformation. Mayfly Books, p 170-181</w:t>
      </w:r>
    </w:p>
    <w:p w14:paraId="4DBE00A6" w14:textId="77777777" w:rsidR="00D94033" w:rsidRPr="0092458B" w:rsidRDefault="00D94033" w:rsidP="00A640DF">
      <w:pPr>
        <w:spacing w:after="0" w:line="240" w:lineRule="auto"/>
        <w:rPr>
          <w:rFonts w:cstheme="minorHAnsi"/>
          <w:sz w:val="24"/>
          <w:szCs w:val="24"/>
          <w:lang w:val="en-US"/>
        </w:rPr>
      </w:pPr>
    </w:p>
    <w:p w14:paraId="6F4FCE2F" w14:textId="57A0C54D" w:rsidR="005E4F70" w:rsidRPr="0092458B" w:rsidRDefault="005E4F70" w:rsidP="00A640DF">
      <w:pPr>
        <w:spacing w:after="0" w:line="240" w:lineRule="auto"/>
        <w:rPr>
          <w:rFonts w:cstheme="minorHAnsi"/>
          <w:sz w:val="24"/>
          <w:szCs w:val="24"/>
          <w:lang w:val="en-US"/>
        </w:rPr>
      </w:pPr>
      <w:r w:rsidRPr="0092458B">
        <w:rPr>
          <w:rFonts w:cstheme="minorHAnsi"/>
          <w:sz w:val="24"/>
          <w:szCs w:val="24"/>
          <w:lang w:val="en-US" w:bidi="en-US"/>
        </w:rPr>
        <w:t>Koch M (2022c) Social policy without growth: Moving towards sustainable welfare states. Social Policy and Society 21 (3): 447-459</w:t>
      </w:r>
    </w:p>
    <w:p w14:paraId="774B1259" w14:textId="77777777" w:rsidR="00D94033" w:rsidRPr="0092458B" w:rsidRDefault="00D94033" w:rsidP="00A640DF">
      <w:pPr>
        <w:spacing w:after="0" w:line="240" w:lineRule="auto"/>
        <w:rPr>
          <w:rFonts w:cstheme="minorHAnsi"/>
          <w:sz w:val="24"/>
          <w:szCs w:val="24"/>
          <w:lang w:val="en-US"/>
        </w:rPr>
      </w:pPr>
    </w:p>
    <w:p w14:paraId="1902AD87" w14:textId="7C983C37" w:rsidR="00197F0D" w:rsidRPr="0092458B" w:rsidRDefault="00197F0D" w:rsidP="00A640DF">
      <w:pPr>
        <w:spacing w:after="0" w:line="240" w:lineRule="auto"/>
        <w:rPr>
          <w:rFonts w:cstheme="minorHAnsi"/>
          <w:sz w:val="24"/>
          <w:szCs w:val="24"/>
          <w:lang w:val="en-US"/>
        </w:rPr>
      </w:pPr>
      <w:r w:rsidRPr="0092458B">
        <w:rPr>
          <w:rFonts w:cstheme="minorHAnsi"/>
          <w:sz w:val="24"/>
          <w:szCs w:val="24"/>
          <w:lang w:val="en-US" w:bidi="en-US"/>
        </w:rPr>
        <w:t>Koch M, Fritz M (2014) Building the eco-social state: Do welfare regimes matter? Journal of Social Policy 43 (4): 679-703</w:t>
      </w:r>
    </w:p>
    <w:p w14:paraId="0BDE682F" w14:textId="77777777" w:rsidR="00D94033" w:rsidRPr="0092458B" w:rsidRDefault="00D94033" w:rsidP="00A640DF">
      <w:pPr>
        <w:spacing w:after="0" w:line="240" w:lineRule="auto"/>
        <w:rPr>
          <w:rFonts w:cstheme="minorHAnsi"/>
          <w:sz w:val="24"/>
          <w:szCs w:val="24"/>
          <w:lang w:val="en-US"/>
        </w:rPr>
      </w:pPr>
    </w:p>
    <w:p w14:paraId="14E35840" w14:textId="126D72EB" w:rsidR="00B90582" w:rsidRPr="0092458B" w:rsidRDefault="00B90582" w:rsidP="00A640DF">
      <w:pPr>
        <w:spacing w:after="0" w:line="240" w:lineRule="auto"/>
        <w:rPr>
          <w:rFonts w:cstheme="minorHAnsi"/>
          <w:sz w:val="24"/>
          <w:szCs w:val="24"/>
          <w:lang w:val="en-US"/>
        </w:rPr>
      </w:pPr>
      <w:r w:rsidRPr="0092458B">
        <w:rPr>
          <w:rFonts w:cstheme="minorHAnsi"/>
          <w:sz w:val="24"/>
          <w:szCs w:val="24"/>
          <w:lang w:val="en-US" w:bidi="en-US"/>
        </w:rPr>
        <w:t>Lamb W, Steinberger J (2017) Human well-being and climate change mitigation. WIREs Climate Change 8 (6): 1-6</w:t>
      </w:r>
    </w:p>
    <w:p w14:paraId="18714784" w14:textId="77777777" w:rsidR="00D94033" w:rsidRPr="0092458B" w:rsidRDefault="00D94033" w:rsidP="00A640DF">
      <w:pPr>
        <w:spacing w:after="0" w:line="240" w:lineRule="auto"/>
        <w:rPr>
          <w:rFonts w:cstheme="minorHAnsi"/>
          <w:sz w:val="24"/>
          <w:szCs w:val="24"/>
          <w:lang w:val="en-US"/>
        </w:rPr>
      </w:pPr>
    </w:p>
    <w:p w14:paraId="7357A8D1" w14:textId="5092526F" w:rsidR="009A595F" w:rsidRPr="0092458B" w:rsidRDefault="009A595F" w:rsidP="00A640DF">
      <w:pPr>
        <w:spacing w:after="0" w:line="240" w:lineRule="auto"/>
        <w:rPr>
          <w:rFonts w:cstheme="minorHAnsi"/>
          <w:sz w:val="24"/>
          <w:szCs w:val="24"/>
          <w:lang w:val="en-US"/>
        </w:rPr>
      </w:pPr>
      <w:r w:rsidRPr="0092458B">
        <w:rPr>
          <w:rFonts w:cstheme="minorHAnsi"/>
          <w:sz w:val="24"/>
          <w:szCs w:val="24"/>
          <w:lang w:val="en-US" w:bidi="en-US"/>
        </w:rPr>
        <w:t>Lamb W, Minx J (2020) The political economy of national climate policy: Architectures of constraint and a typology of countries. Energy Research &amp; Social Science 64: 1-16.</w:t>
      </w:r>
    </w:p>
    <w:p w14:paraId="7533350A" w14:textId="77777777" w:rsidR="00D94033" w:rsidRPr="0092458B" w:rsidRDefault="00D94033" w:rsidP="00A640DF">
      <w:pPr>
        <w:spacing w:after="0" w:line="240" w:lineRule="auto"/>
        <w:rPr>
          <w:rFonts w:cstheme="minorHAnsi"/>
          <w:sz w:val="24"/>
          <w:szCs w:val="24"/>
          <w:lang w:val="en-US"/>
        </w:rPr>
      </w:pPr>
    </w:p>
    <w:p w14:paraId="4B1C0528" w14:textId="249EA52B" w:rsidR="00B90582" w:rsidRPr="0092458B" w:rsidRDefault="00B90582" w:rsidP="00A640DF">
      <w:pPr>
        <w:spacing w:after="0" w:line="240" w:lineRule="auto"/>
        <w:rPr>
          <w:rFonts w:cstheme="minorHAnsi"/>
          <w:sz w:val="24"/>
          <w:szCs w:val="24"/>
          <w:lang w:val="en-US"/>
        </w:rPr>
      </w:pPr>
      <w:r w:rsidRPr="0092458B">
        <w:rPr>
          <w:rFonts w:cstheme="minorHAnsi"/>
          <w:sz w:val="24"/>
          <w:szCs w:val="24"/>
          <w:lang w:val="en-US" w:bidi="en-US"/>
        </w:rPr>
        <w:t xml:space="preserve">Lamb W, Grubb M, </w:t>
      </w:r>
      <w:proofErr w:type="spellStart"/>
      <w:r w:rsidRPr="0092458B">
        <w:rPr>
          <w:rFonts w:cstheme="minorHAnsi"/>
          <w:sz w:val="24"/>
          <w:szCs w:val="24"/>
          <w:lang w:val="en-US" w:bidi="en-US"/>
        </w:rPr>
        <w:t>Diluiso</w:t>
      </w:r>
      <w:proofErr w:type="spellEnd"/>
      <w:r w:rsidRPr="0092458B">
        <w:rPr>
          <w:rFonts w:cstheme="minorHAnsi"/>
          <w:sz w:val="24"/>
          <w:szCs w:val="24"/>
          <w:lang w:val="en-US" w:bidi="en-US"/>
        </w:rPr>
        <w:t xml:space="preserve"> F, Minx, J (2021) Countries with sustained greenhouse emissions reductions: An analysis of trends and progress by sector. Climate Policy 22 (1): 1-17</w:t>
      </w:r>
    </w:p>
    <w:p w14:paraId="69F4D8A1" w14:textId="77777777" w:rsidR="00D94033" w:rsidRPr="0092458B" w:rsidRDefault="00D94033" w:rsidP="00A640DF">
      <w:pPr>
        <w:spacing w:after="0" w:line="240" w:lineRule="auto"/>
        <w:rPr>
          <w:rFonts w:cstheme="minorHAnsi"/>
          <w:sz w:val="24"/>
          <w:szCs w:val="24"/>
          <w:lang w:val="en-US"/>
        </w:rPr>
      </w:pPr>
    </w:p>
    <w:p w14:paraId="23F9DC05" w14:textId="167036D9" w:rsidR="008A215A" w:rsidRPr="0092458B" w:rsidRDefault="008A215A" w:rsidP="00A640DF">
      <w:pPr>
        <w:spacing w:after="0" w:line="240" w:lineRule="auto"/>
        <w:rPr>
          <w:rFonts w:cstheme="minorHAnsi"/>
          <w:sz w:val="24"/>
          <w:szCs w:val="24"/>
          <w:lang w:val="en-US"/>
        </w:rPr>
      </w:pPr>
      <w:r w:rsidRPr="0092458B">
        <w:rPr>
          <w:rFonts w:cstheme="minorHAnsi"/>
          <w:sz w:val="24"/>
          <w:szCs w:val="24"/>
          <w:lang w:val="en-US" w:bidi="en-US"/>
        </w:rPr>
        <w:t xml:space="preserve">Latouche S (2009) Farewell to growth. Polity Press, Cambridge </w:t>
      </w:r>
    </w:p>
    <w:p w14:paraId="40528836" w14:textId="77777777" w:rsidR="00D94033" w:rsidRPr="0092458B" w:rsidRDefault="00D94033" w:rsidP="00A640DF">
      <w:pPr>
        <w:spacing w:after="0" w:line="240" w:lineRule="auto"/>
        <w:rPr>
          <w:rFonts w:cstheme="minorHAnsi"/>
          <w:sz w:val="24"/>
          <w:szCs w:val="24"/>
          <w:lang w:val="en-US"/>
        </w:rPr>
      </w:pPr>
    </w:p>
    <w:p w14:paraId="1198B765" w14:textId="7997FCDB" w:rsidR="009224CB" w:rsidRPr="0092458B" w:rsidRDefault="00991244" w:rsidP="00A640DF">
      <w:pPr>
        <w:spacing w:after="0" w:line="240" w:lineRule="auto"/>
        <w:rPr>
          <w:rFonts w:cstheme="minorHAnsi"/>
          <w:sz w:val="24"/>
          <w:szCs w:val="24"/>
          <w:lang w:val="en-US"/>
        </w:rPr>
      </w:pPr>
      <w:r w:rsidRPr="0092458B">
        <w:rPr>
          <w:rFonts w:cstheme="minorHAnsi"/>
          <w:sz w:val="24"/>
          <w:szCs w:val="24"/>
          <w:lang w:val="en-US" w:bidi="en-US"/>
        </w:rPr>
        <w:t xml:space="preserve">Lehmann C, </w:t>
      </w:r>
      <w:proofErr w:type="spellStart"/>
      <w:r w:rsidRPr="0092458B">
        <w:rPr>
          <w:rFonts w:cstheme="minorHAnsi"/>
          <w:sz w:val="24"/>
          <w:szCs w:val="24"/>
          <w:lang w:val="en-US" w:bidi="en-US"/>
        </w:rPr>
        <w:t>Delbard</w:t>
      </w:r>
      <w:proofErr w:type="spellEnd"/>
      <w:r w:rsidRPr="0092458B">
        <w:rPr>
          <w:rFonts w:cstheme="minorHAnsi"/>
          <w:sz w:val="24"/>
          <w:szCs w:val="24"/>
          <w:lang w:val="en-US" w:bidi="en-US"/>
        </w:rPr>
        <w:t xml:space="preserve"> O, Lange, S (2022). Green growth, a-growth or degrowth? Investigating the attitudes of environmental protection specialists at the German Environment Agency. Journal of Cleaner Production 336: 1-22</w:t>
      </w:r>
    </w:p>
    <w:p w14:paraId="27025B6E" w14:textId="77777777" w:rsidR="00D94033" w:rsidRPr="0092458B" w:rsidRDefault="00D94033" w:rsidP="00A640DF">
      <w:pPr>
        <w:spacing w:after="0" w:line="240" w:lineRule="auto"/>
        <w:rPr>
          <w:rFonts w:cstheme="minorHAnsi"/>
          <w:sz w:val="24"/>
          <w:szCs w:val="24"/>
          <w:lang w:val="en-US"/>
        </w:rPr>
      </w:pPr>
    </w:p>
    <w:p w14:paraId="37A669BB" w14:textId="47948014" w:rsidR="00D253CE" w:rsidRPr="0092458B" w:rsidRDefault="00D253CE" w:rsidP="00A640DF">
      <w:pPr>
        <w:spacing w:after="0" w:line="240" w:lineRule="auto"/>
        <w:rPr>
          <w:rFonts w:cstheme="minorHAnsi"/>
          <w:sz w:val="24"/>
          <w:szCs w:val="24"/>
          <w:lang w:val="en-US"/>
        </w:rPr>
      </w:pPr>
      <w:r w:rsidRPr="0092458B">
        <w:rPr>
          <w:rFonts w:cstheme="minorHAnsi"/>
          <w:sz w:val="24"/>
          <w:szCs w:val="24"/>
          <w:lang w:val="en-US" w:bidi="en-US"/>
        </w:rPr>
        <w:t xml:space="preserve">Le Quéré C; </w:t>
      </w:r>
      <w:proofErr w:type="spellStart"/>
      <w:r w:rsidRPr="0092458B">
        <w:rPr>
          <w:rFonts w:cstheme="minorHAnsi"/>
          <w:sz w:val="24"/>
          <w:szCs w:val="24"/>
          <w:lang w:val="en-US" w:bidi="en-US"/>
        </w:rPr>
        <w:t>Korsbakken</w:t>
      </w:r>
      <w:proofErr w:type="spellEnd"/>
      <w:r w:rsidRPr="0092458B">
        <w:rPr>
          <w:rFonts w:cstheme="minorHAnsi"/>
          <w:sz w:val="24"/>
          <w:szCs w:val="24"/>
          <w:lang w:val="en-US" w:bidi="en-US"/>
        </w:rPr>
        <w:t xml:space="preserve"> J, Wilson C, Tosun J, Andrew R, Andres R, </w:t>
      </w:r>
      <w:proofErr w:type="spellStart"/>
      <w:r w:rsidRPr="0092458B">
        <w:rPr>
          <w:rFonts w:cstheme="minorHAnsi"/>
          <w:sz w:val="24"/>
          <w:szCs w:val="24"/>
          <w:lang w:val="en-US" w:bidi="en-US"/>
        </w:rPr>
        <w:t>Canadell</w:t>
      </w:r>
      <w:proofErr w:type="spellEnd"/>
      <w:r w:rsidRPr="0092458B">
        <w:rPr>
          <w:rFonts w:cstheme="minorHAnsi"/>
          <w:sz w:val="24"/>
          <w:szCs w:val="24"/>
          <w:lang w:val="en-US" w:bidi="en-US"/>
        </w:rPr>
        <w:t xml:space="preserve"> J, Jordan A, Peters G, van Vuuren D (2019) Drivers of declining CO2 emissions in 18 developed economies. Nature Climate Change 9: 213-217</w:t>
      </w:r>
    </w:p>
    <w:p w14:paraId="271CEDA5" w14:textId="0E6CFA5C" w:rsidR="00D94033" w:rsidRPr="0092458B" w:rsidRDefault="00D94033" w:rsidP="00A640DF">
      <w:pPr>
        <w:spacing w:after="0" w:line="240" w:lineRule="auto"/>
        <w:rPr>
          <w:rFonts w:cstheme="minorHAnsi"/>
          <w:sz w:val="24"/>
          <w:szCs w:val="24"/>
          <w:lang w:val="en-US"/>
        </w:rPr>
      </w:pPr>
    </w:p>
    <w:p w14:paraId="05CD5EB6" w14:textId="66A2E748" w:rsidR="003C6D74" w:rsidRPr="0092458B" w:rsidRDefault="003C6D74" w:rsidP="00A640DF">
      <w:pPr>
        <w:spacing w:after="0" w:line="240" w:lineRule="auto"/>
        <w:rPr>
          <w:rFonts w:cstheme="minorHAnsi"/>
          <w:sz w:val="24"/>
          <w:szCs w:val="24"/>
          <w:lang w:val="en-US"/>
        </w:rPr>
      </w:pPr>
      <w:r w:rsidRPr="0092458B">
        <w:rPr>
          <w:rFonts w:cstheme="minorHAnsi"/>
          <w:sz w:val="24"/>
          <w:szCs w:val="24"/>
          <w:lang w:val="en-US" w:bidi="en-US"/>
        </w:rPr>
        <w:t>Malerba D (2022) The effects of social protection and social cohesion on the acceptability of climate change mitigation policies: What do we (not) know in the context of low and middle-income countries? The European Journal of Development Research 34: 1358-1382</w:t>
      </w:r>
    </w:p>
    <w:p w14:paraId="39E7AD67" w14:textId="77777777" w:rsidR="000836B9" w:rsidRPr="0092458B" w:rsidRDefault="000836B9" w:rsidP="00A640DF">
      <w:pPr>
        <w:spacing w:after="0" w:line="240" w:lineRule="auto"/>
        <w:rPr>
          <w:rFonts w:cstheme="minorHAnsi"/>
          <w:sz w:val="24"/>
          <w:szCs w:val="24"/>
          <w:lang w:val="en-US"/>
        </w:rPr>
      </w:pPr>
    </w:p>
    <w:p w14:paraId="439686B5" w14:textId="212C41DE" w:rsidR="00C229D3" w:rsidRPr="0092458B" w:rsidRDefault="00C229D3" w:rsidP="00A640DF">
      <w:pPr>
        <w:spacing w:after="0" w:line="240" w:lineRule="auto"/>
        <w:rPr>
          <w:rFonts w:cstheme="minorHAnsi"/>
          <w:iCs/>
          <w:sz w:val="24"/>
          <w:szCs w:val="24"/>
          <w:lang w:val="en-US"/>
        </w:rPr>
      </w:pPr>
      <w:r w:rsidRPr="0092458B">
        <w:rPr>
          <w:rFonts w:cstheme="minorHAnsi"/>
          <w:sz w:val="24"/>
          <w:szCs w:val="24"/>
          <w:lang w:val="en-US" w:bidi="en-US"/>
        </w:rPr>
        <w:t xml:space="preserve">Mastini R, Kallis G, Hickel J (2021) </w:t>
      </w:r>
      <w:proofErr w:type="gramStart"/>
      <w:r w:rsidRPr="0092458B">
        <w:rPr>
          <w:rFonts w:cstheme="minorHAnsi"/>
          <w:sz w:val="24"/>
          <w:szCs w:val="24"/>
          <w:lang w:val="en-US" w:bidi="en-US"/>
        </w:rPr>
        <w:t>A green new</w:t>
      </w:r>
      <w:proofErr w:type="gramEnd"/>
      <w:r w:rsidRPr="0092458B">
        <w:rPr>
          <w:rFonts w:cstheme="minorHAnsi"/>
          <w:sz w:val="24"/>
          <w:szCs w:val="24"/>
          <w:lang w:val="en-US" w:bidi="en-US"/>
        </w:rPr>
        <w:t xml:space="preserve"> deal without growth? Ecological Economics 179: 1-9. </w:t>
      </w:r>
    </w:p>
    <w:p w14:paraId="3336F4F6" w14:textId="77777777" w:rsidR="00D94033" w:rsidRPr="0092458B" w:rsidRDefault="00D94033" w:rsidP="00A640DF">
      <w:pPr>
        <w:spacing w:after="0" w:line="240" w:lineRule="auto"/>
        <w:rPr>
          <w:rFonts w:cstheme="minorHAnsi"/>
          <w:sz w:val="24"/>
          <w:szCs w:val="24"/>
          <w:lang w:val="en-US"/>
        </w:rPr>
      </w:pPr>
    </w:p>
    <w:p w14:paraId="0AD5F228" w14:textId="6858D6D7" w:rsidR="00F226C6" w:rsidRPr="0092458B" w:rsidRDefault="00F226C6" w:rsidP="00A640DF">
      <w:pPr>
        <w:spacing w:after="0" w:line="240" w:lineRule="auto"/>
        <w:rPr>
          <w:rFonts w:cstheme="minorHAnsi"/>
          <w:sz w:val="24"/>
          <w:szCs w:val="24"/>
          <w:lang w:val="en-US"/>
        </w:rPr>
      </w:pPr>
      <w:r w:rsidRPr="0092458B">
        <w:rPr>
          <w:rFonts w:cstheme="minorHAnsi"/>
          <w:sz w:val="24"/>
          <w:szCs w:val="24"/>
          <w:lang w:val="en-US" w:bidi="en-US"/>
        </w:rPr>
        <w:t>McGann M, Murphy, M (2023) Income support in an eco-social state: The case for participation income. Social Policy and Society 22 (1): 16-30</w:t>
      </w:r>
    </w:p>
    <w:p w14:paraId="36561822" w14:textId="77777777" w:rsidR="00744B63" w:rsidRPr="0092458B" w:rsidRDefault="00744B63" w:rsidP="00A640DF">
      <w:pPr>
        <w:spacing w:after="0" w:line="240" w:lineRule="auto"/>
        <w:rPr>
          <w:rFonts w:cstheme="minorHAnsi"/>
          <w:sz w:val="24"/>
          <w:szCs w:val="24"/>
          <w:lang w:val="en-US"/>
        </w:rPr>
      </w:pPr>
    </w:p>
    <w:p w14:paraId="10854281" w14:textId="77777777" w:rsidR="00744B63" w:rsidRPr="0092458B" w:rsidRDefault="00744B63" w:rsidP="00744B63">
      <w:pPr>
        <w:spacing w:after="0" w:line="240" w:lineRule="auto"/>
        <w:rPr>
          <w:rFonts w:cstheme="minorHAnsi"/>
          <w:sz w:val="24"/>
          <w:szCs w:val="24"/>
          <w:lang w:val="en-US"/>
        </w:rPr>
      </w:pPr>
      <w:r w:rsidRPr="0092458B">
        <w:rPr>
          <w:rFonts w:cstheme="minorHAnsi"/>
          <w:sz w:val="24"/>
          <w:szCs w:val="24"/>
          <w:lang w:val="en-US" w:bidi="en-US"/>
        </w:rPr>
        <w:lastRenderedPageBreak/>
        <w:t xml:space="preserve">Meadows D, Randers J, Meadows D (2004) Limits to growth: The 30-year update. Chelsea Green Publishing, White River Junction. </w:t>
      </w:r>
    </w:p>
    <w:p w14:paraId="6C69BD5A" w14:textId="77777777" w:rsidR="00744B63" w:rsidRPr="0092458B" w:rsidRDefault="00744B63" w:rsidP="00744B63">
      <w:pPr>
        <w:spacing w:after="0" w:line="240" w:lineRule="auto"/>
        <w:rPr>
          <w:rFonts w:cstheme="minorHAnsi"/>
          <w:sz w:val="24"/>
          <w:szCs w:val="24"/>
          <w:lang w:val="en-US"/>
        </w:rPr>
      </w:pPr>
    </w:p>
    <w:p w14:paraId="78E06FB5" w14:textId="516A5A28" w:rsidR="004C0DCC" w:rsidRPr="0092458B" w:rsidRDefault="004C0DCC" w:rsidP="00A640DF">
      <w:pPr>
        <w:spacing w:after="0" w:line="240" w:lineRule="auto"/>
        <w:rPr>
          <w:rFonts w:cstheme="minorHAnsi"/>
          <w:sz w:val="24"/>
          <w:szCs w:val="24"/>
          <w:lang w:val="en-US"/>
        </w:rPr>
      </w:pPr>
      <w:proofErr w:type="spellStart"/>
      <w:r w:rsidRPr="0092458B">
        <w:rPr>
          <w:rFonts w:cstheme="minorHAnsi"/>
          <w:sz w:val="24"/>
          <w:szCs w:val="24"/>
          <w:lang w:val="en-US" w:bidi="en-US"/>
        </w:rPr>
        <w:t>Millward</w:t>
      </w:r>
      <w:proofErr w:type="spellEnd"/>
      <w:r w:rsidRPr="0092458B">
        <w:rPr>
          <w:rFonts w:cstheme="minorHAnsi"/>
          <w:sz w:val="24"/>
          <w:szCs w:val="24"/>
          <w:lang w:val="en-US" w:bidi="en-US"/>
        </w:rPr>
        <w:t>-Hopkins J (2022) Inequality can double the energy required to secure universal decent living. Nature Communications 13: 1-9</w:t>
      </w:r>
    </w:p>
    <w:p w14:paraId="478C1F12" w14:textId="77777777" w:rsidR="00D336AA" w:rsidRPr="0092458B" w:rsidRDefault="00D336AA" w:rsidP="00A640DF">
      <w:pPr>
        <w:spacing w:after="0" w:line="240" w:lineRule="auto"/>
        <w:rPr>
          <w:rFonts w:cstheme="minorHAnsi"/>
          <w:sz w:val="24"/>
          <w:szCs w:val="24"/>
          <w:lang w:val="en-US"/>
        </w:rPr>
      </w:pPr>
    </w:p>
    <w:p w14:paraId="6F63CE37" w14:textId="1348C51B" w:rsidR="00556336" w:rsidRPr="0092458B" w:rsidRDefault="00556336" w:rsidP="00A640DF">
      <w:pPr>
        <w:spacing w:after="0" w:line="240" w:lineRule="auto"/>
        <w:rPr>
          <w:rFonts w:cstheme="minorHAnsi"/>
          <w:sz w:val="24"/>
          <w:szCs w:val="24"/>
          <w:lang w:val="en-US"/>
        </w:rPr>
      </w:pPr>
      <w:r w:rsidRPr="0092458B">
        <w:rPr>
          <w:rFonts w:cstheme="minorHAnsi"/>
          <w:sz w:val="24"/>
          <w:szCs w:val="24"/>
          <w:lang w:val="en-US" w:bidi="en-US"/>
        </w:rPr>
        <w:t xml:space="preserve">Mont O, Lehner M, </w:t>
      </w:r>
      <w:proofErr w:type="spellStart"/>
      <w:r w:rsidRPr="0092458B">
        <w:rPr>
          <w:rFonts w:cstheme="minorHAnsi"/>
          <w:sz w:val="24"/>
          <w:szCs w:val="24"/>
          <w:lang w:val="en-US" w:bidi="en-US"/>
        </w:rPr>
        <w:t>Dalhammar</w:t>
      </w:r>
      <w:proofErr w:type="spellEnd"/>
      <w:r w:rsidRPr="0092458B">
        <w:rPr>
          <w:rFonts w:cstheme="minorHAnsi"/>
          <w:sz w:val="24"/>
          <w:szCs w:val="24"/>
          <w:lang w:val="en-US" w:bidi="en-US"/>
        </w:rPr>
        <w:t xml:space="preserve"> (2022) Sustainable consumption through policy intervention – a review of research themes.  Frontiers in Sustainability 3: 1-15</w:t>
      </w:r>
    </w:p>
    <w:p w14:paraId="3023C14C" w14:textId="2BA4C6AC" w:rsidR="00991782" w:rsidRPr="0092458B" w:rsidRDefault="00991782" w:rsidP="00A640DF">
      <w:pPr>
        <w:spacing w:after="0" w:line="240" w:lineRule="auto"/>
        <w:rPr>
          <w:rFonts w:cstheme="minorHAnsi"/>
          <w:sz w:val="24"/>
          <w:szCs w:val="24"/>
          <w:lang w:val="en-US"/>
        </w:rPr>
      </w:pPr>
    </w:p>
    <w:p w14:paraId="0DED4498" w14:textId="46CADBEC" w:rsidR="001F36CB" w:rsidRPr="0092458B" w:rsidRDefault="001F36CB" w:rsidP="00A640DF">
      <w:pPr>
        <w:spacing w:after="0" w:line="240" w:lineRule="auto"/>
        <w:rPr>
          <w:rFonts w:cstheme="minorHAnsi"/>
          <w:sz w:val="24"/>
          <w:szCs w:val="24"/>
          <w:lang w:val="en-US"/>
        </w:rPr>
      </w:pPr>
      <w:proofErr w:type="spellStart"/>
      <w:r w:rsidRPr="0092458B">
        <w:rPr>
          <w:rFonts w:cstheme="minorHAnsi"/>
          <w:sz w:val="24"/>
          <w:szCs w:val="24"/>
          <w:lang w:val="en-US" w:bidi="en-US"/>
        </w:rPr>
        <w:t>Motesharrei</w:t>
      </w:r>
      <w:proofErr w:type="spellEnd"/>
      <w:r w:rsidRPr="0092458B">
        <w:rPr>
          <w:rFonts w:cstheme="minorHAnsi"/>
          <w:sz w:val="24"/>
          <w:szCs w:val="24"/>
          <w:lang w:val="en-US" w:bidi="en-US"/>
        </w:rPr>
        <w:t xml:space="preserve"> S, Rivas J, </w:t>
      </w:r>
      <w:proofErr w:type="spellStart"/>
      <w:r w:rsidRPr="0092458B">
        <w:rPr>
          <w:rFonts w:cstheme="minorHAnsi"/>
          <w:sz w:val="24"/>
          <w:szCs w:val="24"/>
          <w:lang w:val="en-US" w:bidi="en-US"/>
        </w:rPr>
        <w:t>Kalnay</w:t>
      </w:r>
      <w:proofErr w:type="spellEnd"/>
      <w:r w:rsidRPr="0092458B">
        <w:rPr>
          <w:rFonts w:cstheme="minorHAnsi"/>
          <w:sz w:val="24"/>
          <w:szCs w:val="24"/>
          <w:lang w:val="en-US" w:bidi="en-US"/>
        </w:rPr>
        <w:t xml:space="preserve"> E (2014) Human and nature dynamics (HANDY): Modeling inequality and use of resources in the collapse or sustainability of societies. Ecological Economics 101: 90-102. </w:t>
      </w:r>
    </w:p>
    <w:p w14:paraId="024EBF4A" w14:textId="77777777" w:rsidR="00D94033" w:rsidRPr="0092458B" w:rsidRDefault="00D94033" w:rsidP="00A640DF">
      <w:pPr>
        <w:spacing w:after="0" w:line="240" w:lineRule="auto"/>
        <w:rPr>
          <w:rFonts w:cstheme="minorHAnsi"/>
          <w:sz w:val="24"/>
          <w:szCs w:val="24"/>
          <w:lang w:val="en-US"/>
        </w:rPr>
      </w:pPr>
    </w:p>
    <w:p w14:paraId="77F71C11" w14:textId="466A97CF" w:rsidR="009025FA" w:rsidRPr="0092458B" w:rsidRDefault="009025FA" w:rsidP="00A640DF">
      <w:pPr>
        <w:spacing w:after="0" w:line="240" w:lineRule="auto"/>
        <w:rPr>
          <w:rFonts w:cstheme="minorHAnsi"/>
          <w:sz w:val="24"/>
          <w:szCs w:val="24"/>
          <w:lang w:val="en-US"/>
        </w:rPr>
      </w:pPr>
      <w:r w:rsidRPr="0092458B">
        <w:rPr>
          <w:rFonts w:cstheme="minorHAnsi"/>
          <w:sz w:val="24"/>
          <w:szCs w:val="24"/>
          <w:lang w:val="en-US" w:bidi="en-US"/>
        </w:rPr>
        <w:t xml:space="preserve">Novy A (2022). The political trilemma of contemporary social-ecological transformation – lessons from Karl Polanyi’s the great transformation. Globalizations 19 (1): 59-80. </w:t>
      </w:r>
    </w:p>
    <w:p w14:paraId="3AFCAE64" w14:textId="77777777" w:rsidR="00D94033" w:rsidRPr="0092458B" w:rsidRDefault="00D94033" w:rsidP="00A640DF">
      <w:pPr>
        <w:spacing w:after="0" w:line="240" w:lineRule="auto"/>
        <w:rPr>
          <w:rFonts w:cstheme="minorHAnsi"/>
          <w:sz w:val="24"/>
          <w:szCs w:val="24"/>
          <w:lang w:val="en-US"/>
        </w:rPr>
      </w:pPr>
    </w:p>
    <w:p w14:paraId="17317954" w14:textId="61209B8F" w:rsidR="000313D4" w:rsidRPr="0092458B" w:rsidRDefault="000313D4" w:rsidP="00A640DF">
      <w:pPr>
        <w:spacing w:after="0" w:line="240" w:lineRule="auto"/>
        <w:rPr>
          <w:rFonts w:cstheme="minorHAnsi"/>
          <w:sz w:val="24"/>
          <w:szCs w:val="24"/>
          <w:lang w:val="en-US"/>
        </w:rPr>
      </w:pPr>
      <w:r w:rsidRPr="0092458B">
        <w:rPr>
          <w:rFonts w:cstheme="minorHAnsi"/>
          <w:sz w:val="24"/>
          <w:szCs w:val="24"/>
          <w:lang w:val="en-US" w:bidi="en-US"/>
        </w:rPr>
        <w:t xml:space="preserve">Oberholzer B (2023) Post-growth transition, working time reduction, and the question of profits. Ecological Economics 203: 1-10 </w:t>
      </w:r>
    </w:p>
    <w:p w14:paraId="79FADF6B" w14:textId="77777777" w:rsidR="00D94033" w:rsidRPr="0092458B" w:rsidRDefault="00D94033" w:rsidP="00A640DF">
      <w:pPr>
        <w:spacing w:after="0" w:line="240" w:lineRule="auto"/>
        <w:rPr>
          <w:rFonts w:cstheme="minorHAnsi"/>
          <w:sz w:val="24"/>
          <w:szCs w:val="24"/>
          <w:lang w:val="en-US"/>
        </w:rPr>
      </w:pPr>
    </w:p>
    <w:p w14:paraId="0515991F" w14:textId="06D090E3" w:rsidR="00D94033" w:rsidRPr="0092458B" w:rsidRDefault="00344AB1" w:rsidP="00A640DF">
      <w:pPr>
        <w:spacing w:after="0" w:line="240" w:lineRule="auto"/>
        <w:rPr>
          <w:rFonts w:cstheme="minorHAnsi"/>
          <w:sz w:val="24"/>
          <w:szCs w:val="24"/>
          <w:lang w:val="en-US"/>
        </w:rPr>
      </w:pPr>
      <w:r w:rsidRPr="0092458B">
        <w:rPr>
          <w:rFonts w:cstheme="minorHAnsi"/>
          <w:sz w:val="24"/>
          <w:szCs w:val="24"/>
          <w:lang w:val="en-US" w:bidi="en-US"/>
        </w:rPr>
        <w:t xml:space="preserve">Obura D, DeClerck F, Verburg P, Gupta J, Abrams J, Bai X, Bunn S, </w:t>
      </w:r>
      <w:proofErr w:type="spellStart"/>
      <w:r w:rsidRPr="0092458B">
        <w:rPr>
          <w:rFonts w:cstheme="minorHAnsi"/>
          <w:sz w:val="24"/>
          <w:szCs w:val="24"/>
          <w:lang w:val="en-US" w:bidi="en-US"/>
        </w:rPr>
        <w:t>Ebi</w:t>
      </w:r>
      <w:proofErr w:type="spellEnd"/>
      <w:r w:rsidRPr="0092458B">
        <w:rPr>
          <w:rFonts w:cstheme="minorHAnsi"/>
          <w:sz w:val="24"/>
          <w:szCs w:val="24"/>
          <w:lang w:val="en-US" w:bidi="en-US"/>
        </w:rPr>
        <w:t xml:space="preserve"> K, Gifford L, Gordon C, Jacobson L, Lenton T, Liverman D, Mohamed A, </w:t>
      </w:r>
      <w:proofErr w:type="spellStart"/>
      <w:r w:rsidRPr="0092458B">
        <w:rPr>
          <w:rFonts w:cstheme="minorHAnsi"/>
          <w:sz w:val="24"/>
          <w:szCs w:val="24"/>
          <w:lang w:val="en-US" w:bidi="en-US"/>
        </w:rPr>
        <w:t>Prodani</w:t>
      </w:r>
      <w:proofErr w:type="spellEnd"/>
      <w:r w:rsidRPr="0092458B">
        <w:rPr>
          <w:rFonts w:cstheme="minorHAnsi"/>
          <w:sz w:val="24"/>
          <w:szCs w:val="24"/>
          <w:lang w:val="en-US" w:bidi="en-US"/>
        </w:rPr>
        <w:t xml:space="preserve"> K, Rocha J, </w:t>
      </w:r>
      <w:proofErr w:type="spellStart"/>
      <w:r w:rsidRPr="0092458B">
        <w:rPr>
          <w:rFonts w:cstheme="minorHAnsi"/>
          <w:sz w:val="24"/>
          <w:szCs w:val="24"/>
          <w:lang w:val="en-US" w:bidi="en-US"/>
        </w:rPr>
        <w:t>Rockstro</w:t>
      </w:r>
      <w:proofErr w:type="spellEnd"/>
      <w:r w:rsidRPr="0092458B">
        <w:rPr>
          <w:rFonts w:cstheme="minorHAnsi"/>
          <w:sz w:val="24"/>
          <w:szCs w:val="24"/>
          <w:lang w:val="en-US" w:bidi="en-US"/>
        </w:rPr>
        <w:t xml:space="preserve"> J, </w:t>
      </w:r>
      <w:proofErr w:type="spellStart"/>
      <w:r w:rsidRPr="0092458B">
        <w:rPr>
          <w:rFonts w:cstheme="minorHAnsi"/>
          <w:sz w:val="24"/>
          <w:szCs w:val="24"/>
          <w:lang w:val="en-US" w:bidi="en-US"/>
        </w:rPr>
        <w:t>Sakschewski</w:t>
      </w:r>
      <w:proofErr w:type="spellEnd"/>
      <w:r w:rsidRPr="0092458B">
        <w:rPr>
          <w:rFonts w:cstheme="minorHAnsi"/>
          <w:sz w:val="24"/>
          <w:szCs w:val="24"/>
          <w:lang w:val="en-US" w:bidi="en-US"/>
        </w:rPr>
        <w:t xml:space="preserve"> B,  </w:t>
      </w:r>
    </w:p>
    <w:p w14:paraId="6E8320CF" w14:textId="2B12A375" w:rsidR="00344AB1" w:rsidRPr="0092458B" w:rsidRDefault="0038398F" w:rsidP="00A640DF">
      <w:pPr>
        <w:spacing w:after="0" w:line="240" w:lineRule="auto"/>
        <w:rPr>
          <w:rFonts w:cstheme="minorHAnsi"/>
          <w:sz w:val="24"/>
          <w:szCs w:val="24"/>
          <w:lang w:val="en-US"/>
        </w:rPr>
      </w:pPr>
      <w:proofErr w:type="spellStart"/>
      <w:r w:rsidRPr="0092458B">
        <w:rPr>
          <w:rFonts w:cstheme="minorHAnsi"/>
          <w:sz w:val="24"/>
          <w:szCs w:val="24"/>
          <w:lang w:val="da-DK"/>
        </w:rPr>
        <w:t>Stwart</w:t>
      </w:r>
      <w:proofErr w:type="spellEnd"/>
      <w:r w:rsidRPr="0092458B">
        <w:rPr>
          <w:rFonts w:cstheme="minorHAnsi"/>
          <w:sz w:val="24"/>
          <w:szCs w:val="24"/>
          <w:lang w:val="da-DK"/>
        </w:rPr>
        <w:t xml:space="preserve">-Koster B, van </w:t>
      </w:r>
      <w:proofErr w:type="spellStart"/>
      <w:r w:rsidRPr="0092458B">
        <w:rPr>
          <w:rFonts w:cstheme="minorHAnsi"/>
          <w:sz w:val="24"/>
          <w:szCs w:val="24"/>
          <w:lang w:val="da-DK"/>
        </w:rPr>
        <w:t>Vuuren</w:t>
      </w:r>
      <w:proofErr w:type="spellEnd"/>
      <w:r w:rsidRPr="0092458B">
        <w:rPr>
          <w:rFonts w:cstheme="minorHAnsi"/>
          <w:sz w:val="24"/>
          <w:szCs w:val="24"/>
          <w:lang w:val="da-DK"/>
        </w:rPr>
        <w:t xml:space="preserve"> D, Winkelmann R, </w:t>
      </w:r>
      <w:proofErr w:type="spellStart"/>
      <w:r w:rsidRPr="0092458B">
        <w:rPr>
          <w:rFonts w:cstheme="minorHAnsi"/>
          <w:sz w:val="24"/>
          <w:szCs w:val="24"/>
          <w:lang w:val="da-DK"/>
        </w:rPr>
        <w:t>Zimm</w:t>
      </w:r>
      <w:proofErr w:type="spellEnd"/>
      <w:r w:rsidRPr="0092458B">
        <w:rPr>
          <w:rFonts w:cstheme="minorHAnsi"/>
          <w:sz w:val="24"/>
          <w:szCs w:val="24"/>
          <w:lang w:val="da-DK"/>
        </w:rPr>
        <w:t xml:space="preserve"> C (2022). </w:t>
      </w:r>
      <w:r w:rsidR="00265A61" w:rsidRPr="0092458B">
        <w:rPr>
          <w:rFonts w:cstheme="minorHAnsi"/>
          <w:sz w:val="24"/>
          <w:szCs w:val="24"/>
          <w:lang w:val="en-US" w:bidi="en-US"/>
        </w:rPr>
        <w:t>Achieving a Nature- and People-Positive Future. One Earth (Online)</w:t>
      </w:r>
    </w:p>
    <w:p w14:paraId="7A95FBCA" w14:textId="77777777" w:rsidR="00D94033" w:rsidRPr="0092458B" w:rsidRDefault="00D94033" w:rsidP="00A640DF">
      <w:pPr>
        <w:spacing w:after="0" w:line="240" w:lineRule="auto"/>
        <w:rPr>
          <w:rFonts w:cstheme="minorHAnsi"/>
          <w:sz w:val="24"/>
          <w:szCs w:val="24"/>
          <w:lang w:val="en-US"/>
        </w:rPr>
      </w:pPr>
    </w:p>
    <w:p w14:paraId="4CF01155" w14:textId="77777777" w:rsidR="0012078C" w:rsidRPr="0092458B" w:rsidRDefault="0012078C" w:rsidP="00A640DF">
      <w:pPr>
        <w:spacing w:after="0" w:line="240" w:lineRule="auto"/>
        <w:rPr>
          <w:rFonts w:cstheme="minorHAnsi"/>
          <w:sz w:val="24"/>
          <w:szCs w:val="24"/>
          <w:lang w:val="en-US" w:bidi="en-US"/>
        </w:rPr>
      </w:pPr>
    </w:p>
    <w:p w14:paraId="33E0D1EC" w14:textId="733F77D9" w:rsidR="0012078C" w:rsidRPr="0092458B" w:rsidRDefault="0012078C" w:rsidP="00A640DF">
      <w:pPr>
        <w:spacing w:after="0" w:line="240" w:lineRule="auto"/>
        <w:rPr>
          <w:rFonts w:cstheme="minorHAnsi"/>
          <w:sz w:val="24"/>
          <w:szCs w:val="24"/>
          <w:lang w:val="en-US" w:bidi="en-US"/>
        </w:rPr>
      </w:pPr>
      <w:r w:rsidRPr="0092458B">
        <w:rPr>
          <w:rFonts w:cstheme="minorHAnsi"/>
          <w:sz w:val="24"/>
          <w:szCs w:val="24"/>
          <w:lang w:val="en-US" w:bidi="en-US"/>
        </w:rPr>
        <w:t>Olk</w:t>
      </w:r>
      <w:r w:rsidR="00066D54" w:rsidRPr="0092458B">
        <w:rPr>
          <w:rFonts w:cstheme="minorHAnsi"/>
          <w:sz w:val="24"/>
          <w:szCs w:val="24"/>
          <w:lang w:val="en-US" w:bidi="en-US"/>
        </w:rPr>
        <w:t xml:space="preserve"> C, Schneider C</w:t>
      </w:r>
      <w:r w:rsidR="00156FE1" w:rsidRPr="0092458B">
        <w:rPr>
          <w:rFonts w:cstheme="minorHAnsi"/>
          <w:sz w:val="24"/>
          <w:szCs w:val="24"/>
          <w:lang w:val="en-US" w:bidi="en-US"/>
        </w:rPr>
        <w:t xml:space="preserve">, Hickel J (2023). How to pay for saving the world: Modern monetary theory for a degrowth transition. </w:t>
      </w:r>
      <w:r w:rsidR="00DA7B0C" w:rsidRPr="0092458B">
        <w:rPr>
          <w:rFonts w:cstheme="minorHAnsi"/>
          <w:sz w:val="24"/>
          <w:szCs w:val="24"/>
          <w:lang w:val="en-US" w:bidi="en-US"/>
        </w:rPr>
        <w:t xml:space="preserve">Ecological Economics 214 (online). </w:t>
      </w:r>
    </w:p>
    <w:p w14:paraId="0E7BEF2F" w14:textId="77777777" w:rsidR="00066D54" w:rsidRPr="0092458B" w:rsidRDefault="00066D54" w:rsidP="00A640DF">
      <w:pPr>
        <w:spacing w:after="0" w:line="240" w:lineRule="auto"/>
        <w:rPr>
          <w:rFonts w:cstheme="minorHAnsi"/>
          <w:sz w:val="24"/>
          <w:szCs w:val="24"/>
          <w:lang w:val="en-US" w:bidi="en-US"/>
        </w:rPr>
      </w:pPr>
    </w:p>
    <w:p w14:paraId="41E86212" w14:textId="3454CA47" w:rsidR="00611489" w:rsidRPr="0092458B" w:rsidRDefault="00611489" w:rsidP="00A640DF">
      <w:pPr>
        <w:spacing w:after="0" w:line="240" w:lineRule="auto"/>
        <w:rPr>
          <w:rFonts w:cstheme="minorHAnsi"/>
          <w:sz w:val="24"/>
          <w:szCs w:val="24"/>
          <w:lang w:val="en-US"/>
        </w:rPr>
      </w:pPr>
      <w:r w:rsidRPr="0092458B">
        <w:rPr>
          <w:rFonts w:cstheme="minorHAnsi"/>
          <w:sz w:val="24"/>
          <w:szCs w:val="24"/>
          <w:lang w:val="en-US" w:bidi="en-US"/>
        </w:rPr>
        <w:t xml:space="preserve">Ostrom, E (1990) Governing the commons: The evolution of institutions for collective action. Cambridge University Press, Cambridge. </w:t>
      </w:r>
    </w:p>
    <w:p w14:paraId="60E348E1" w14:textId="77777777" w:rsidR="00D94033" w:rsidRPr="0092458B" w:rsidRDefault="00D94033" w:rsidP="00A640DF">
      <w:pPr>
        <w:autoSpaceDE w:val="0"/>
        <w:autoSpaceDN w:val="0"/>
        <w:adjustRightInd w:val="0"/>
        <w:spacing w:after="0" w:line="240" w:lineRule="auto"/>
        <w:rPr>
          <w:rFonts w:cstheme="minorHAnsi"/>
          <w:sz w:val="24"/>
          <w:szCs w:val="24"/>
          <w:lang w:val="en-US"/>
        </w:rPr>
      </w:pPr>
    </w:p>
    <w:p w14:paraId="24C0687A" w14:textId="6B20B597" w:rsidR="008803E3" w:rsidRPr="0092458B" w:rsidRDefault="008803E3"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 xml:space="preserve">Otto A, Gugushvili D (2020) Eco-social divides in Europe: Public attitudes towards welfare and climate change policies. Sustainability 12 (1), 404. </w:t>
      </w:r>
    </w:p>
    <w:p w14:paraId="0474E6DE" w14:textId="77777777" w:rsidR="008803E3" w:rsidRPr="0092458B" w:rsidRDefault="008803E3" w:rsidP="00A640DF">
      <w:pPr>
        <w:autoSpaceDE w:val="0"/>
        <w:autoSpaceDN w:val="0"/>
        <w:adjustRightInd w:val="0"/>
        <w:spacing w:after="0" w:line="240" w:lineRule="auto"/>
        <w:rPr>
          <w:rFonts w:cstheme="minorHAnsi"/>
          <w:sz w:val="24"/>
          <w:szCs w:val="24"/>
          <w:lang w:val="en-US"/>
        </w:rPr>
      </w:pPr>
    </w:p>
    <w:p w14:paraId="13C97E42" w14:textId="77777777" w:rsidR="008803E3" w:rsidRPr="0092458B" w:rsidRDefault="008803E3"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 xml:space="preserve">Otto I, Donges J, Cremades R, Bhowmik A, Hewitt R, Lucht W, </w:t>
      </w:r>
      <w:proofErr w:type="spellStart"/>
      <w:r w:rsidRPr="0092458B">
        <w:rPr>
          <w:rFonts w:cstheme="minorHAnsi"/>
          <w:sz w:val="24"/>
          <w:szCs w:val="24"/>
          <w:lang w:val="en-US" w:bidi="en-US"/>
        </w:rPr>
        <w:t>Rockström</w:t>
      </w:r>
      <w:proofErr w:type="spellEnd"/>
      <w:r w:rsidRPr="0092458B">
        <w:rPr>
          <w:rFonts w:cstheme="minorHAnsi"/>
          <w:sz w:val="24"/>
          <w:szCs w:val="24"/>
          <w:lang w:val="en-US" w:bidi="en-US"/>
        </w:rPr>
        <w:t xml:space="preserve"> J, </w:t>
      </w:r>
      <w:proofErr w:type="spellStart"/>
      <w:r w:rsidRPr="0092458B">
        <w:rPr>
          <w:rFonts w:cstheme="minorHAnsi"/>
          <w:sz w:val="24"/>
          <w:szCs w:val="24"/>
          <w:lang w:val="en-US" w:bidi="en-US"/>
        </w:rPr>
        <w:t>Allerberger</w:t>
      </w:r>
      <w:proofErr w:type="spellEnd"/>
      <w:r w:rsidRPr="0092458B">
        <w:rPr>
          <w:rFonts w:cstheme="minorHAnsi"/>
          <w:sz w:val="24"/>
          <w:szCs w:val="24"/>
          <w:lang w:val="en-US" w:bidi="en-US"/>
        </w:rPr>
        <w:t xml:space="preserve"> </w:t>
      </w:r>
      <w:proofErr w:type="gramStart"/>
      <w:r w:rsidRPr="0092458B">
        <w:rPr>
          <w:rFonts w:cstheme="minorHAnsi"/>
          <w:sz w:val="24"/>
          <w:szCs w:val="24"/>
          <w:lang w:val="en-US" w:bidi="en-US"/>
        </w:rPr>
        <w:t>F,  McCaffrey</w:t>
      </w:r>
      <w:proofErr w:type="gramEnd"/>
      <w:r w:rsidRPr="0092458B">
        <w:rPr>
          <w:rFonts w:cstheme="minorHAnsi"/>
          <w:sz w:val="24"/>
          <w:szCs w:val="24"/>
          <w:lang w:val="en-US" w:bidi="en-US"/>
        </w:rPr>
        <w:t xml:space="preserve"> M, Doe S, </w:t>
      </w:r>
      <w:proofErr w:type="spellStart"/>
      <w:r w:rsidRPr="0092458B">
        <w:rPr>
          <w:rFonts w:cstheme="minorHAnsi"/>
          <w:sz w:val="24"/>
          <w:szCs w:val="24"/>
          <w:lang w:val="en-US" w:bidi="en-US"/>
        </w:rPr>
        <w:t>Lenferna</w:t>
      </w:r>
      <w:proofErr w:type="spellEnd"/>
      <w:r w:rsidRPr="0092458B">
        <w:rPr>
          <w:rFonts w:cstheme="minorHAnsi"/>
          <w:sz w:val="24"/>
          <w:szCs w:val="24"/>
          <w:lang w:val="en-US" w:bidi="en-US"/>
        </w:rPr>
        <w:t xml:space="preserve"> A, Moran N, van </w:t>
      </w:r>
      <w:proofErr w:type="spellStart"/>
      <w:r w:rsidRPr="0092458B">
        <w:rPr>
          <w:rFonts w:cstheme="minorHAnsi"/>
          <w:sz w:val="24"/>
          <w:szCs w:val="24"/>
          <w:lang w:val="en-US" w:bidi="en-US"/>
        </w:rPr>
        <w:t>Vurren</w:t>
      </w:r>
      <w:proofErr w:type="spellEnd"/>
      <w:r w:rsidRPr="0092458B">
        <w:rPr>
          <w:rFonts w:cstheme="minorHAnsi"/>
          <w:sz w:val="24"/>
          <w:szCs w:val="24"/>
          <w:lang w:val="en-US" w:bidi="en-US"/>
        </w:rPr>
        <w:t xml:space="preserve"> D, </w:t>
      </w:r>
      <w:proofErr w:type="spellStart"/>
      <w:r w:rsidRPr="0092458B">
        <w:rPr>
          <w:rFonts w:cstheme="minorHAnsi"/>
          <w:sz w:val="24"/>
          <w:szCs w:val="24"/>
          <w:lang w:val="en-US" w:bidi="en-US"/>
        </w:rPr>
        <w:t>Shellnhuber</w:t>
      </w:r>
      <w:proofErr w:type="spellEnd"/>
      <w:r w:rsidRPr="0092458B">
        <w:rPr>
          <w:rFonts w:cstheme="minorHAnsi"/>
          <w:sz w:val="24"/>
          <w:szCs w:val="24"/>
          <w:lang w:val="en-US" w:bidi="en-US"/>
        </w:rPr>
        <w:t xml:space="preserve">, J (2020) Social tipping points for stabilizing </w:t>
      </w:r>
      <w:proofErr w:type="spellStart"/>
      <w:r w:rsidRPr="0092458B">
        <w:rPr>
          <w:rFonts w:cstheme="minorHAnsi"/>
          <w:sz w:val="24"/>
          <w:szCs w:val="24"/>
          <w:lang w:val="en-US" w:bidi="en-US"/>
        </w:rPr>
        <w:t>Earths</w:t>
      </w:r>
      <w:proofErr w:type="spellEnd"/>
      <w:r w:rsidRPr="0092458B">
        <w:rPr>
          <w:rFonts w:cstheme="minorHAnsi"/>
          <w:sz w:val="24"/>
          <w:szCs w:val="24"/>
          <w:lang w:val="en-US" w:bidi="en-US"/>
        </w:rPr>
        <w:t xml:space="preserve"> climate by 2050. Proceedings of the National Academy of Sciences 117 (5): 2354-2365. </w:t>
      </w:r>
    </w:p>
    <w:p w14:paraId="4E28083C" w14:textId="77777777" w:rsidR="00A640DF" w:rsidRPr="0092458B" w:rsidRDefault="00A640DF" w:rsidP="00A640DF">
      <w:pPr>
        <w:spacing w:after="0" w:line="240" w:lineRule="auto"/>
        <w:rPr>
          <w:sz w:val="24"/>
          <w:szCs w:val="24"/>
          <w:lang w:val="en-US"/>
        </w:rPr>
      </w:pPr>
    </w:p>
    <w:p w14:paraId="42B099DF" w14:textId="62C22C3D" w:rsidR="001A3A4B" w:rsidRPr="0092458B" w:rsidRDefault="001A3A4B" w:rsidP="00A640DF">
      <w:pPr>
        <w:spacing w:after="0" w:line="240" w:lineRule="auto"/>
        <w:rPr>
          <w:sz w:val="24"/>
          <w:szCs w:val="24"/>
          <w:lang w:val="en-US"/>
        </w:rPr>
      </w:pPr>
      <w:proofErr w:type="spellStart"/>
      <w:r w:rsidRPr="0092458B">
        <w:rPr>
          <w:sz w:val="24"/>
          <w:szCs w:val="24"/>
          <w:lang w:val="en-US" w:bidi="en-US"/>
        </w:rPr>
        <w:t>Ottelin</w:t>
      </w:r>
      <w:proofErr w:type="spellEnd"/>
      <w:r w:rsidRPr="0092458B">
        <w:rPr>
          <w:sz w:val="24"/>
          <w:szCs w:val="24"/>
          <w:lang w:val="en-US" w:bidi="en-US"/>
        </w:rPr>
        <w:t xml:space="preserve"> J, Heinonen J, Junnila S (2018) Carbon and material footprints of a welfare state: Why and how governments should enhance green investments. </w:t>
      </w:r>
    </w:p>
    <w:p w14:paraId="4096E9E8" w14:textId="77777777" w:rsidR="00D94033" w:rsidRPr="0092458B" w:rsidRDefault="00D94033" w:rsidP="00A640DF">
      <w:pPr>
        <w:spacing w:after="0" w:line="240" w:lineRule="auto"/>
        <w:rPr>
          <w:sz w:val="24"/>
          <w:szCs w:val="24"/>
          <w:lang w:val="en-US"/>
        </w:rPr>
      </w:pPr>
    </w:p>
    <w:p w14:paraId="5E8F717E" w14:textId="586F4AD6" w:rsidR="00474AD6" w:rsidRPr="0092458B" w:rsidRDefault="00474AD6" w:rsidP="00A640DF">
      <w:pPr>
        <w:spacing w:after="0" w:line="240" w:lineRule="auto"/>
        <w:rPr>
          <w:sz w:val="24"/>
          <w:szCs w:val="24"/>
          <w:lang w:val="en-US"/>
        </w:rPr>
      </w:pPr>
      <w:proofErr w:type="spellStart"/>
      <w:r w:rsidRPr="0092458B">
        <w:rPr>
          <w:sz w:val="24"/>
          <w:szCs w:val="24"/>
          <w:lang w:val="en-US" w:bidi="en-US"/>
        </w:rPr>
        <w:t>Parrique</w:t>
      </w:r>
      <w:proofErr w:type="spellEnd"/>
      <w:r w:rsidRPr="0092458B">
        <w:rPr>
          <w:sz w:val="24"/>
          <w:szCs w:val="24"/>
          <w:lang w:val="en-US" w:bidi="en-US"/>
        </w:rPr>
        <w:t xml:space="preserve"> T (2019) The political economy of degrowth. Dissertation. University of Stockholm. </w:t>
      </w:r>
    </w:p>
    <w:p w14:paraId="68049EDA" w14:textId="77777777" w:rsidR="00D94033" w:rsidRPr="0092458B" w:rsidRDefault="00D94033" w:rsidP="00A640DF">
      <w:pPr>
        <w:spacing w:after="0" w:line="240" w:lineRule="auto"/>
        <w:rPr>
          <w:sz w:val="24"/>
          <w:szCs w:val="24"/>
          <w:lang w:val="en-US"/>
        </w:rPr>
      </w:pPr>
    </w:p>
    <w:p w14:paraId="4001E755" w14:textId="7D05F13D" w:rsidR="00474AD6" w:rsidRPr="0092458B" w:rsidRDefault="00474AD6" w:rsidP="00A640DF">
      <w:pPr>
        <w:spacing w:after="0" w:line="240" w:lineRule="auto"/>
        <w:rPr>
          <w:sz w:val="24"/>
          <w:szCs w:val="24"/>
          <w:lang w:val="en-US"/>
        </w:rPr>
      </w:pPr>
      <w:proofErr w:type="spellStart"/>
      <w:r w:rsidRPr="0092458B">
        <w:rPr>
          <w:sz w:val="24"/>
          <w:szCs w:val="24"/>
          <w:lang w:val="en-US" w:bidi="en-US"/>
        </w:rPr>
        <w:lastRenderedPageBreak/>
        <w:t>Parrique</w:t>
      </w:r>
      <w:proofErr w:type="spellEnd"/>
      <w:r w:rsidRPr="0092458B">
        <w:rPr>
          <w:sz w:val="24"/>
          <w:szCs w:val="24"/>
          <w:lang w:val="en-US" w:bidi="en-US"/>
        </w:rPr>
        <w:t xml:space="preserve"> T, Barth J, </w:t>
      </w:r>
      <w:proofErr w:type="spellStart"/>
      <w:r w:rsidRPr="0092458B">
        <w:rPr>
          <w:sz w:val="24"/>
          <w:szCs w:val="24"/>
          <w:lang w:val="en-US" w:bidi="en-US"/>
        </w:rPr>
        <w:t>Briens</w:t>
      </w:r>
      <w:proofErr w:type="spellEnd"/>
      <w:r w:rsidRPr="0092458B">
        <w:rPr>
          <w:sz w:val="24"/>
          <w:szCs w:val="24"/>
          <w:lang w:val="en-US" w:bidi="en-US"/>
        </w:rPr>
        <w:t xml:space="preserve"> F, Christian K, Kraus-Polk A, Kuokkanen A, Spangenberg J (2019) Decoupling debunked. Evidence and arguments against green growth as a sole strategy for sustainability. European Environmental Bureau, Brussels </w:t>
      </w:r>
    </w:p>
    <w:p w14:paraId="6914693B" w14:textId="77777777" w:rsidR="00D94033" w:rsidRPr="0092458B" w:rsidRDefault="00D94033" w:rsidP="00A640DF">
      <w:pPr>
        <w:spacing w:after="0" w:line="240" w:lineRule="auto"/>
        <w:rPr>
          <w:sz w:val="24"/>
          <w:szCs w:val="24"/>
          <w:lang w:val="en-US"/>
        </w:rPr>
      </w:pPr>
    </w:p>
    <w:p w14:paraId="24A3ED30" w14:textId="34602FBE" w:rsidR="004B637C" w:rsidRPr="0092458B" w:rsidRDefault="004B637C" w:rsidP="00A640DF">
      <w:pPr>
        <w:spacing w:after="0" w:line="240" w:lineRule="auto"/>
        <w:rPr>
          <w:sz w:val="24"/>
          <w:szCs w:val="24"/>
          <w:lang w:val="en-US"/>
        </w:rPr>
      </w:pPr>
      <w:r w:rsidRPr="0092458B">
        <w:rPr>
          <w:sz w:val="24"/>
          <w:szCs w:val="24"/>
          <w:lang w:val="en-US" w:bidi="en-US"/>
        </w:rPr>
        <w:t xml:space="preserve">Parth A-M, </w:t>
      </w:r>
      <w:proofErr w:type="spellStart"/>
      <w:r w:rsidRPr="0092458B">
        <w:rPr>
          <w:sz w:val="24"/>
          <w:szCs w:val="24"/>
          <w:lang w:val="en-US" w:bidi="en-US"/>
        </w:rPr>
        <w:t>Vlandas</w:t>
      </w:r>
      <w:proofErr w:type="spellEnd"/>
      <w:r w:rsidRPr="0092458B">
        <w:rPr>
          <w:sz w:val="24"/>
          <w:szCs w:val="24"/>
          <w:lang w:val="en-US" w:bidi="en-US"/>
        </w:rPr>
        <w:t xml:space="preserve"> T (2022) The welfare state and support for environmental action in Europe. Journal of European Social Policy 32 (5): 531-547</w:t>
      </w:r>
    </w:p>
    <w:p w14:paraId="5C6E6ADC" w14:textId="77777777" w:rsidR="00D94033" w:rsidRPr="0092458B" w:rsidRDefault="00D94033" w:rsidP="00A640DF">
      <w:pPr>
        <w:spacing w:after="0" w:line="240" w:lineRule="auto"/>
        <w:rPr>
          <w:rFonts w:cstheme="minorHAnsi"/>
          <w:sz w:val="24"/>
          <w:szCs w:val="24"/>
          <w:lang w:val="en-US"/>
        </w:rPr>
      </w:pPr>
    </w:p>
    <w:p w14:paraId="1495D55C" w14:textId="2BEDB29B" w:rsidR="002D3886" w:rsidRPr="0092458B" w:rsidRDefault="002D3886" w:rsidP="00A640DF">
      <w:pPr>
        <w:spacing w:after="0" w:line="240" w:lineRule="auto"/>
        <w:rPr>
          <w:rFonts w:cstheme="minorHAnsi"/>
          <w:sz w:val="24"/>
          <w:szCs w:val="24"/>
          <w:lang w:val="en-US"/>
        </w:rPr>
      </w:pPr>
      <w:r w:rsidRPr="0092458B">
        <w:rPr>
          <w:rFonts w:cstheme="minorHAnsi"/>
          <w:sz w:val="24"/>
          <w:szCs w:val="24"/>
          <w:lang w:val="en-US" w:bidi="en-US"/>
        </w:rPr>
        <w:t xml:space="preserve">Paulson L, </w:t>
      </w:r>
      <w:proofErr w:type="spellStart"/>
      <w:r w:rsidRPr="0092458B">
        <w:rPr>
          <w:rFonts w:cstheme="minorHAnsi"/>
          <w:sz w:val="24"/>
          <w:szCs w:val="24"/>
          <w:lang w:val="en-US" w:bidi="en-US"/>
        </w:rPr>
        <w:t>Büchs</w:t>
      </w:r>
      <w:proofErr w:type="spellEnd"/>
      <w:r w:rsidRPr="0092458B">
        <w:rPr>
          <w:rFonts w:cstheme="minorHAnsi"/>
          <w:sz w:val="24"/>
          <w:szCs w:val="24"/>
          <w:lang w:val="en-US" w:bidi="en-US"/>
        </w:rPr>
        <w:t xml:space="preserve"> M (2022) Public acceptance of post-growth: Factors and implications for post-growth strategy. Futures 143: 1-15</w:t>
      </w:r>
    </w:p>
    <w:p w14:paraId="0EDDF5B8" w14:textId="77777777" w:rsidR="00D94033" w:rsidRPr="0092458B" w:rsidRDefault="00D94033" w:rsidP="00A640DF">
      <w:pPr>
        <w:spacing w:after="0" w:line="240" w:lineRule="auto"/>
        <w:rPr>
          <w:rFonts w:cstheme="minorHAnsi"/>
          <w:sz w:val="24"/>
          <w:szCs w:val="24"/>
          <w:lang w:val="en-US"/>
        </w:rPr>
      </w:pPr>
    </w:p>
    <w:p w14:paraId="18DC4B8E" w14:textId="4953A1C2" w:rsidR="00D463CA" w:rsidRPr="0092458B" w:rsidRDefault="00D463CA" w:rsidP="00A640DF">
      <w:pPr>
        <w:spacing w:after="0" w:line="240" w:lineRule="auto"/>
        <w:rPr>
          <w:rFonts w:cstheme="minorHAnsi"/>
          <w:sz w:val="24"/>
          <w:szCs w:val="24"/>
          <w:lang w:val="en-US"/>
        </w:rPr>
      </w:pPr>
      <w:r w:rsidRPr="0092458B">
        <w:rPr>
          <w:rFonts w:cstheme="minorHAnsi"/>
          <w:sz w:val="24"/>
          <w:szCs w:val="24"/>
          <w:lang w:val="en-US" w:bidi="en-US"/>
        </w:rPr>
        <w:t>Pichler M (2023). Political dimensions of social-ecological transformations: Polity, politics, policy. Sustainability: Science, Practice and Policy 19 (1): 1-15</w:t>
      </w:r>
    </w:p>
    <w:p w14:paraId="7B71B769" w14:textId="77777777" w:rsidR="0000748C" w:rsidRPr="0092458B" w:rsidRDefault="0000748C" w:rsidP="00A640DF">
      <w:pPr>
        <w:spacing w:after="0" w:line="240" w:lineRule="auto"/>
        <w:rPr>
          <w:rFonts w:cstheme="minorHAnsi"/>
          <w:sz w:val="24"/>
          <w:szCs w:val="24"/>
          <w:lang w:val="en-US"/>
        </w:rPr>
      </w:pPr>
    </w:p>
    <w:p w14:paraId="793E44E3" w14:textId="2BF2B37B" w:rsidR="00A82DB2" w:rsidRPr="0092458B" w:rsidRDefault="00A82DB2" w:rsidP="00A640DF">
      <w:pPr>
        <w:spacing w:after="0" w:line="240" w:lineRule="auto"/>
        <w:rPr>
          <w:rFonts w:cstheme="minorHAnsi"/>
          <w:sz w:val="24"/>
          <w:szCs w:val="24"/>
          <w:lang w:val="en-US"/>
        </w:rPr>
      </w:pPr>
      <w:r w:rsidRPr="0092458B">
        <w:rPr>
          <w:rFonts w:cstheme="minorHAnsi"/>
          <w:sz w:val="24"/>
          <w:szCs w:val="24"/>
          <w:lang w:val="en-US" w:bidi="en-US"/>
        </w:rPr>
        <w:t>Pihl E, Alfredsson E, Bengtsson M, Bowen K, et al (2021) Ten new insights in climate science 2020 – A horizon scan. Global Sustainability 4 (5): 1-18</w:t>
      </w:r>
    </w:p>
    <w:p w14:paraId="29D5154D" w14:textId="77777777" w:rsidR="0037624F" w:rsidRPr="0092458B" w:rsidRDefault="0037624F" w:rsidP="00A640DF">
      <w:pPr>
        <w:spacing w:after="0" w:line="240" w:lineRule="auto"/>
        <w:rPr>
          <w:rFonts w:cstheme="minorHAnsi"/>
          <w:sz w:val="24"/>
          <w:szCs w:val="24"/>
          <w:lang w:val="en-US"/>
        </w:rPr>
      </w:pPr>
    </w:p>
    <w:p w14:paraId="7C902196" w14:textId="7636A7ED" w:rsidR="00D233B7" w:rsidRPr="0092458B" w:rsidRDefault="00D233B7" w:rsidP="00A640DF">
      <w:pPr>
        <w:spacing w:after="0" w:line="240" w:lineRule="auto"/>
        <w:rPr>
          <w:rFonts w:cstheme="minorHAnsi"/>
          <w:sz w:val="24"/>
          <w:szCs w:val="24"/>
          <w:lang w:val="en-US"/>
        </w:rPr>
      </w:pPr>
      <w:r w:rsidRPr="0092458B">
        <w:rPr>
          <w:rFonts w:cstheme="minorHAnsi"/>
          <w:sz w:val="24"/>
          <w:szCs w:val="24"/>
          <w:lang w:val="en-US" w:bidi="en-US"/>
        </w:rPr>
        <w:t xml:space="preserve">Polanyi K (1944) The great transformation. Farrar &amp; Rhinehart, New York </w:t>
      </w:r>
    </w:p>
    <w:p w14:paraId="2DF2201E" w14:textId="77777777" w:rsidR="0037624F" w:rsidRPr="0092458B" w:rsidRDefault="0037624F" w:rsidP="00A640DF">
      <w:pPr>
        <w:spacing w:after="0" w:line="240" w:lineRule="auto"/>
        <w:rPr>
          <w:rFonts w:cstheme="minorHAnsi"/>
          <w:sz w:val="24"/>
          <w:szCs w:val="24"/>
          <w:lang w:val="en-US"/>
        </w:rPr>
      </w:pPr>
    </w:p>
    <w:p w14:paraId="4C286A85" w14:textId="3D4F8019" w:rsidR="001A0671" w:rsidRPr="0092458B" w:rsidRDefault="001A0671" w:rsidP="00A640DF">
      <w:pPr>
        <w:spacing w:after="0" w:line="240" w:lineRule="auto"/>
        <w:rPr>
          <w:rFonts w:cstheme="minorHAnsi"/>
          <w:sz w:val="24"/>
          <w:szCs w:val="24"/>
          <w:lang w:val="en-US"/>
        </w:rPr>
      </w:pPr>
      <w:r w:rsidRPr="0092458B">
        <w:rPr>
          <w:rFonts w:cstheme="minorHAnsi"/>
          <w:sz w:val="24"/>
          <w:szCs w:val="24"/>
          <w:lang w:val="en-US" w:bidi="en-US"/>
        </w:rPr>
        <w:t>Pullinger M (2014) Working time reduction policy in a sustainable economy: Criteria and options for its design. Ecological Economics 103: 11-19</w:t>
      </w:r>
    </w:p>
    <w:p w14:paraId="3987D775" w14:textId="77777777" w:rsidR="0037624F" w:rsidRPr="0092458B" w:rsidRDefault="0037624F" w:rsidP="00A640DF">
      <w:pPr>
        <w:spacing w:after="0" w:line="240" w:lineRule="auto"/>
        <w:rPr>
          <w:rFonts w:cstheme="minorHAnsi"/>
          <w:sz w:val="24"/>
          <w:szCs w:val="24"/>
          <w:lang w:val="en-US"/>
        </w:rPr>
      </w:pPr>
    </w:p>
    <w:p w14:paraId="464E99E0" w14:textId="55FF2DAB" w:rsidR="007415FD" w:rsidRPr="0092458B" w:rsidRDefault="007415FD" w:rsidP="00A640DF">
      <w:pPr>
        <w:spacing w:after="0" w:line="240" w:lineRule="auto"/>
        <w:rPr>
          <w:rFonts w:cstheme="minorHAnsi"/>
          <w:sz w:val="24"/>
          <w:szCs w:val="24"/>
          <w:lang w:val="en-US"/>
        </w:rPr>
      </w:pPr>
      <w:r w:rsidRPr="0092458B">
        <w:rPr>
          <w:rFonts w:cstheme="minorHAnsi"/>
          <w:sz w:val="24"/>
          <w:szCs w:val="24"/>
          <w:lang w:val="en-US" w:bidi="en-US"/>
        </w:rPr>
        <w:t>Raworth K (2017) Doughnut economics: Seven ways to think like a 21</w:t>
      </w:r>
      <w:r w:rsidRPr="0092458B">
        <w:rPr>
          <w:rFonts w:cstheme="minorHAnsi"/>
          <w:sz w:val="24"/>
          <w:szCs w:val="24"/>
          <w:vertAlign w:val="superscript"/>
          <w:lang w:val="en-US" w:bidi="en-US"/>
        </w:rPr>
        <w:t>st</w:t>
      </w:r>
      <w:r w:rsidR="00C1076A" w:rsidRPr="0092458B">
        <w:rPr>
          <w:rFonts w:cstheme="minorHAnsi"/>
          <w:sz w:val="24"/>
          <w:szCs w:val="24"/>
          <w:lang w:val="en-US" w:bidi="en-US"/>
        </w:rPr>
        <w:t xml:space="preserve"> century economist. Chelsea Green Publishing, White River Junction. </w:t>
      </w:r>
    </w:p>
    <w:p w14:paraId="73C422E0" w14:textId="77777777" w:rsidR="0037624F" w:rsidRPr="0092458B" w:rsidRDefault="0037624F" w:rsidP="00A640DF">
      <w:pPr>
        <w:spacing w:after="0" w:line="240" w:lineRule="auto"/>
        <w:rPr>
          <w:rFonts w:cstheme="minorHAnsi"/>
          <w:sz w:val="24"/>
          <w:szCs w:val="24"/>
          <w:lang w:val="en-US"/>
        </w:rPr>
      </w:pPr>
    </w:p>
    <w:p w14:paraId="01FCFF88" w14:textId="32ACFE15" w:rsidR="003363AC" w:rsidRPr="0092458B" w:rsidRDefault="003363AC" w:rsidP="00A640DF">
      <w:pPr>
        <w:spacing w:after="0" w:line="240" w:lineRule="auto"/>
        <w:rPr>
          <w:rFonts w:cstheme="minorHAnsi"/>
          <w:sz w:val="24"/>
          <w:szCs w:val="24"/>
          <w:lang w:val="en-US"/>
        </w:rPr>
      </w:pPr>
      <w:proofErr w:type="spellStart"/>
      <w:r w:rsidRPr="0092458B">
        <w:rPr>
          <w:rFonts w:cstheme="minorHAnsi"/>
          <w:sz w:val="24"/>
          <w:szCs w:val="24"/>
          <w:lang w:val="en-US" w:bidi="en-US"/>
        </w:rPr>
        <w:t>Rilovic</w:t>
      </w:r>
      <w:proofErr w:type="spellEnd"/>
      <w:r w:rsidRPr="0092458B">
        <w:rPr>
          <w:rFonts w:cstheme="minorHAnsi"/>
          <w:sz w:val="24"/>
          <w:szCs w:val="24"/>
          <w:lang w:val="en-US" w:bidi="en-US"/>
        </w:rPr>
        <w:t xml:space="preserve"> A, Hepp C, </w:t>
      </w:r>
      <w:proofErr w:type="spellStart"/>
      <w:r w:rsidRPr="0092458B">
        <w:rPr>
          <w:rFonts w:cstheme="minorHAnsi"/>
          <w:sz w:val="24"/>
          <w:szCs w:val="24"/>
          <w:lang w:val="en-US" w:bidi="en-US"/>
        </w:rPr>
        <w:t>Saey-Volckrick</w:t>
      </w:r>
      <w:proofErr w:type="spellEnd"/>
      <w:r w:rsidRPr="0092458B">
        <w:rPr>
          <w:rFonts w:cstheme="minorHAnsi"/>
          <w:sz w:val="24"/>
          <w:szCs w:val="24"/>
          <w:lang w:val="en-US" w:bidi="en-US"/>
        </w:rPr>
        <w:t xml:space="preserve"> J, Herbert J, Bardi C, Carol (2022) Degrowth actors and their strategies: Towards a degrowth international. In: Barlow N, Regen L, </w:t>
      </w:r>
      <w:proofErr w:type="spellStart"/>
      <w:r w:rsidRPr="0092458B">
        <w:rPr>
          <w:rFonts w:cstheme="minorHAnsi"/>
          <w:sz w:val="24"/>
          <w:szCs w:val="24"/>
          <w:lang w:val="en-US" w:bidi="en-US"/>
        </w:rPr>
        <w:t>Cadiou</w:t>
      </w:r>
      <w:proofErr w:type="spellEnd"/>
      <w:r w:rsidRPr="0092458B">
        <w:rPr>
          <w:rFonts w:cstheme="minorHAnsi"/>
          <w:sz w:val="24"/>
          <w:szCs w:val="24"/>
          <w:lang w:val="en-US" w:bidi="en-US"/>
        </w:rPr>
        <w:t xml:space="preserve"> N, </w:t>
      </w:r>
      <w:proofErr w:type="spellStart"/>
      <w:r w:rsidRPr="0092458B">
        <w:rPr>
          <w:rFonts w:cstheme="minorHAnsi"/>
          <w:sz w:val="24"/>
          <w:szCs w:val="24"/>
          <w:lang w:val="en-US" w:bidi="en-US"/>
        </w:rPr>
        <w:t>Chertkovskata</w:t>
      </w:r>
      <w:proofErr w:type="spellEnd"/>
      <w:r w:rsidRPr="0092458B">
        <w:rPr>
          <w:rFonts w:cstheme="minorHAnsi"/>
          <w:sz w:val="24"/>
          <w:szCs w:val="24"/>
          <w:lang w:val="en-US" w:bidi="en-US"/>
        </w:rPr>
        <w:t xml:space="preserve"> E, Hollweg M, Plank, C, Schulken, M, Wolf V (eds.) Degrowth &amp; strategy. How to bring about social-ecological transformation. Mayfly Books, p. 93-109 </w:t>
      </w:r>
    </w:p>
    <w:p w14:paraId="487715DB" w14:textId="77777777" w:rsidR="0037624F" w:rsidRPr="0092458B" w:rsidRDefault="0037624F" w:rsidP="00A640DF">
      <w:pPr>
        <w:spacing w:after="0" w:line="240" w:lineRule="auto"/>
        <w:rPr>
          <w:rFonts w:cstheme="minorHAnsi"/>
          <w:sz w:val="24"/>
          <w:szCs w:val="24"/>
          <w:lang w:val="en-US"/>
        </w:rPr>
      </w:pPr>
    </w:p>
    <w:p w14:paraId="54D81D99" w14:textId="16189775" w:rsidR="007E7DE3" w:rsidRPr="0092458B" w:rsidRDefault="007E7DE3" w:rsidP="00A640DF">
      <w:pPr>
        <w:spacing w:after="0" w:line="240" w:lineRule="auto"/>
        <w:rPr>
          <w:rFonts w:cstheme="minorHAnsi"/>
          <w:sz w:val="24"/>
          <w:szCs w:val="24"/>
          <w:lang w:val="en-US"/>
        </w:rPr>
      </w:pPr>
      <w:r w:rsidRPr="0092458B">
        <w:rPr>
          <w:rFonts w:cstheme="minorHAnsi"/>
          <w:sz w:val="24"/>
          <w:szCs w:val="24"/>
          <w:lang w:val="en-US" w:bidi="en-US"/>
        </w:rPr>
        <w:t xml:space="preserve">Ripple W, Wolf C, Newsome T, Barnard P, Moomaw W (2021) World scientists’ warning of a climate emergency. </w:t>
      </w:r>
      <w:proofErr w:type="spellStart"/>
      <w:r w:rsidRPr="0092458B">
        <w:rPr>
          <w:rFonts w:cstheme="minorHAnsi"/>
          <w:sz w:val="24"/>
          <w:szCs w:val="24"/>
          <w:lang w:val="en-US" w:bidi="en-US"/>
        </w:rPr>
        <w:t>BioScience</w:t>
      </w:r>
      <w:proofErr w:type="spellEnd"/>
      <w:r w:rsidRPr="0092458B">
        <w:rPr>
          <w:rFonts w:cstheme="minorHAnsi"/>
          <w:sz w:val="24"/>
          <w:szCs w:val="24"/>
          <w:lang w:val="en-US" w:bidi="en-US"/>
        </w:rPr>
        <w:t xml:space="preserve"> 70 (1): 8-12</w:t>
      </w:r>
    </w:p>
    <w:p w14:paraId="404B0F19" w14:textId="77777777" w:rsidR="0037624F" w:rsidRPr="0092458B" w:rsidRDefault="0037624F" w:rsidP="00A640DF">
      <w:pPr>
        <w:spacing w:after="0" w:line="240" w:lineRule="auto"/>
        <w:rPr>
          <w:rFonts w:cstheme="minorHAnsi"/>
          <w:sz w:val="24"/>
          <w:szCs w:val="24"/>
          <w:lang w:val="en-US"/>
        </w:rPr>
      </w:pPr>
    </w:p>
    <w:p w14:paraId="3CE0D8ED" w14:textId="0EB13BAD" w:rsidR="008748D9" w:rsidRPr="0092458B" w:rsidRDefault="008748D9" w:rsidP="00A640DF">
      <w:pPr>
        <w:spacing w:after="0" w:line="240" w:lineRule="auto"/>
        <w:rPr>
          <w:rFonts w:cstheme="minorHAnsi"/>
          <w:sz w:val="24"/>
          <w:szCs w:val="24"/>
          <w:lang w:val="en-US"/>
        </w:rPr>
      </w:pPr>
      <w:r w:rsidRPr="0092458B">
        <w:rPr>
          <w:rFonts w:cstheme="minorHAnsi"/>
          <w:sz w:val="24"/>
          <w:szCs w:val="24"/>
          <w:lang w:val="en-US" w:bidi="en-US"/>
        </w:rPr>
        <w:t xml:space="preserve">Roosma F, van Oorschot W (2020) Public opinion on basic income: Mapping European support for a radical alternative for welfare provision. Journal of European Social Policy 30 (2): 190-205. </w:t>
      </w:r>
    </w:p>
    <w:p w14:paraId="42753B14" w14:textId="77777777" w:rsidR="0037624F" w:rsidRPr="0092458B" w:rsidRDefault="0037624F" w:rsidP="00A640DF">
      <w:pPr>
        <w:spacing w:after="0" w:line="240" w:lineRule="auto"/>
        <w:rPr>
          <w:rFonts w:cstheme="minorHAnsi"/>
          <w:sz w:val="24"/>
          <w:szCs w:val="24"/>
          <w:lang w:val="en-US"/>
        </w:rPr>
      </w:pPr>
    </w:p>
    <w:p w14:paraId="45F99D9D" w14:textId="01B72C55" w:rsidR="006B688A" w:rsidRPr="0092458B" w:rsidRDefault="000659A5" w:rsidP="00A640DF">
      <w:pPr>
        <w:spacing w:after="0" w:line="240" w:lineRule="auto"/>
        <w:rPr>
          <w:rFonts w:cstheme="minorHAnsi"/>
          <w:sz w:val="24"/>
          <w:szCs w:val="24"/>
          <w:lang w:val="en-US"/>
        </w:rPr>
      </w:pPr>
      <w:r w:rsidRPr="0092458B">
        <w:rPr>
          <w:rFonts w:cstheme="minorHAnsi"/>
          <w:sz w:val="24"/>
          <w:szCs w:val="24"/>
          <w:lang w:val="en-US" w:bidi="en-US"/>
        </w:rPr>
        <w:t xml:space="preserve">Ryff C (1989) Happiness is everything, or is it? Explorations on the meaning of psychological well-being. Journal of Personality and Social Psychology 57 (6): 1069-1981 </w:t>
      </w:r>
    </w:p>
    <w:p w14:paraId="3214FE11" w14:textId="77777777" w:rsidR="006B688A" w:rsidRPr="0092458B" w:rsidRDefault="006B688A" w:rsidP="00A640DF">
      <w:pPr>
        <w:spacing w:after="0" w:line="240" w:lineRule="auto"/>
        <w:rPr>
          <w:rFonts w:cstheme="minorHAnsi"/>
          <w:sz w:val="24"/>
          <w:szCs w:val="24"/>
          <w:lang w:val="en-US"/>
        </w:rPr>
      </w:pPr>
    </w:p>
    <w:p w14:paraId="39F5599D" w14:textId="499200EF" w:rsidR="006B688A" w:rsidRPr="0092458B" w:rsidRDefault="006B688A" w:rsidP="00A640DF">
      <w:pPr>
        <w:spacing w:after="0" w:line="240" w:lineRule="auto"/>
        <w:rPr>
          <w:rFonts w:cstheme="minorHAnsi"/>
          <w:sz w:val="24"/>
          <w:szCs w:val="24"/>
          <w:lang w:val="en-US"/>
        </w:rPr>
      </w:pPr>
      <w:r w:rsidRPr="0092458B">
        <w:rPr>
          <w:rFonts w:cstheme="minorHAnsi"/>
          <w:sz w:val="24"/>
          <w:szCs w:val="24"/>
          <w:lang w:val="en-US" w:bidi="en-US"/>
        </w:rPr>
        <w:t xml:space="preserve">Ryff C (2017) </w:t>
      </w:r>
      <w:proofErr w:type="spellStart"/>
      <w:r w:rsidRPr="0092458B">
        <w:rPr>
          <w:rFonts w:cstheme="minorHAnsi"/>
          <w:sz w:val="24"/>
          <w:szCs w:val="24"/>
          <w:lang w:val="en-US" w:bidi="en-US"/>
        </w:rPr>
        <w:t>Eudaimonic</w:t>
      </w:r>
      <w:proofErr w:type="spellEnd"/>
      <w:r w:rsidRPr="0092458B">
        <w:rPr>
          <w:rFonts w:cstheme="minorHAnsi"/>
          <w:sz w:val="24"/>
          <w:szCs w:val="24"/>
          <w:lang w:val="en-US" w:bidi="en-US"/>
        </w:rPr>
        <w:t xml:space="preserve"> well-being, inequality, and health: Recent findings and future directions. International Review of Economics 64: 159-178</w:t>
      </w:r>
    </w:p>
    <w:p w14:paraId="45DDD07A" w14:textId="77777777" w:rsidR="00F41256" w:rsidRPr="0092458B" w:rsidRDefault="00F41256" w:rsidP="00A640DF">
      <w:pPr>
        <w:spacing w:after="0" w:line="240" w:lineRule="auto"/>
        <w:rPr>
          <w:rFonts w:cstheme="minorHAnsi"/>
          <w:sz w:val="24"/>
          <w:szCs w:val="24"/>
          <w:lang w:val="en-US"/>
        </w:rPr>
      </w:pPr>
    </w:p>
    <w:p w14:paraId="0DADA36A" w14:textId="0341AD25" w:rsidR="00CF6283" w:rsidRPr="0092458B" w:rsidRDefault="00CF6283" w:rsidP="00A640DF">
      <w:pPr>
        <w:spacing w:after="0" w:line="240" w:lineRule="auto"/>
        <w:rPr>
          <w:rFonts w:cstheme="minorHAnsi"/>
          <w:sz w:val="24"/>
          <w:szCs w:val="24"/>
          <w:lang w:val="en-US"/>
        </w:rPr>
      </w:pPr>
      <w:r w:rsidRPr="0092458B">
        <w:rPr>
          <w:rFonts w:cstheme="minorHAnsi"/>
          <w:sz w:val="24"/>
          <w:szCs w:val="24"/>
          <w:lang w:val="en-US" w:bidi="en-US"/>
        </w:rPr>
        <w:t xml:space="preserve">Saito, K (2022). Marx in the Anthropocene. Towards the idea of degrowth communism. Cambridge University Press, Cambridge. </w:t>
      </w:r>
    </w:p>
    <w:p w14:paraId="2C4311F6" w14:textId="77777777" w:rsidR="00CF6283" w:rsidRPr="0092458B" w:rsidRDefault="00CF6283" w:rsidP="00A640DF">
      <w:pPr>
        <w:spacing w:after="0" w:line="240" w:lineRule="auto"/>
        <w:rPr>
          <w:rFonts w:cstheme="minorHAnsi"/>
          <w:sz w:val="24"/>
          <w:szCs w:val="24"/>
          <w:lang w:val="en-US"/>
        </w:rPr>
      </w:pPr>
    </w:p>
    <w:p w14:paraId="114B7108" w14:textId="282AD156" w:rsidR="0037624F" w:rsidRPr="0092458B" w:rsidRDefault="004B637C" w:rsidP="00A640DF">
      <w:pPr>
        <w:spacing w:after="0" w:line="240" w:lineRule="auto"/>
        <w:rPr>
          <w:rFonts w:cstheme="minorHAnsi"/>
          <w:sz w:val="24"/>
          <w:szCs w:val="24"/>
          <w:lang w:val="en-US"/>
        </w:rPr>
      </w:pPr>
      <w:r w:rsidRPr="0092458B">
        <w:rPr>
          <w:rFonts w:cstheme="minorHAnsi"/>
          <w:sz w:val="24"/>
          <w:szCs w:val="24"/>
          <w:lang w:val="en-US" w:bidi="en-US"/>
        </w:rPr>
        <w:t xml:space="preserve">Schaffer LM, Oehl B, Bernauer T (2022) Are policymakers responsive to public demand in </w:t>
      </w:r>
      <w:proofErr w:type="gramStart"/>
      <w:r w:rsidRPr="0092458B">
        <w:rPr>
          <w:rFonts w:cstheme="minorHAnsi"/>
          <w:sz w:val="24"/>
          <w:szCs w:val="24"/>
          <w:lang w:val="en-US" w:bidi="en-US"/>
        </w:rPr>
        <w:t>climate</w:t>
      </w:r>
      <w:proofErr w:type="gramEnd"/>
      <w:r w:rsidRPr="0092458B">
        <w:rPr>
          <w:rFonts w:cstheme="minorHAnsi"/>
          <w:sz w:val="24"/>
          <w:szCs w:val="24"/>
          <w:lang w:val="en-US" w:bidi="en-US"/>
        </w:rPr>
        <w:t xml:space="preserve"> </w:t>
      </w:r>
    </w:p>
    <w:p w14:paraId="5760B600" w14:textId="35DD9936" w:rsidR="004B637C" w:rsidRPr="0092458B" w:rsidRDefault="004B637C" w:rsidP="00A640DF">
      <w:pPr>
        <w:spacing w:after="0" w:line="240" w:lineRule="auto"/>
        <w:rPr>
          <w:rFonts w:cstheme="minorHAnsi"/>
          <w:sz w:val="24"/>
          <w:szCs w:val="24"/>
          <w:lang w:val="en-US"/>
        </w:rPr>
      </w:pPr>
      <w:r w:rsidRPr="0092458B">
        <w:rPr>
          <w:rFonts w:cstheme="minorHAnsi"/>
          <w:sz w:val="24"/>
          <w:szCs w:val="24"/>
          <w:lang w:val="en-US" w:bidi="en-US"/>
        </w:rPr>
        <w:lastRenderedPageBreak/>
        <w:t>politics? Journal of Public Policy 42 (1): 136-164</w:t>
      </w:r>
    </w:p>
    <w:p w14:paraId="6E2DFB73" w14:textId="77777777" w:rsidR="0037624F" w:rsidRPr="0092458B" w:rsidRDefault="0037624F" w:rsidP="00A640DF">
      <w:pPr>
        <w:spacing w:after="0" w:line="240" w:lineRule="auto"/>
        <w:rPr>
          <w:rFonts w:cstheme="minorHAnsi"/>
          <w:sz w:val="24"/>
          <w:szCs w:val="24"/>
          <w:lang w:val="en-US"/>
        </w:rPr>
      </w:pPr>
    </w:p>
    <w:p w14:paraId="6940CBC2" w14:textId="21F2798E" w:rsidR="0037624F" w:rsidRPr="0092458B" w:rsidRDefault="004B637C" w:rsidP="00A640DF">
      <w:pPr>
        <w:spacing w:after="0" w:line="240" w:lineRule="auto"/>
        <w:rPr>
          <w:rFonts w:cstheme="minorHAnsi"/>
          <w:sz w:val="24"/>
          <w:szCs w:val="24"/>
          <w:lang w:val="en-US"/>
        </w:rPr>
      </w:pPr>
      <w:proofErr w:type="spellStart"/>
      <w:r w:rsidRPr="0092458B">
        <w:rPr>
          <w:rFonts w:cstheme="minorHAnsi"/>
          <w:sz w:val="24"/>
          <w:szCs w:val="24"/>
          <w:lang w:val="en-US" w:bidi="en-US"/>
        </w:rPr>
        <w:t>Schoyen</w:t>
      </w:r>
      <w:proofErr w:type="spellEnd"/>
      <w:r w:rsidRPr="0092458B">
        <w:rPr>
          <w:rFonts w:cstheme="minorHAnsi"/>
          <w:sz w:val="24"/>
          <w:szCs w:val="24"/>
          <w:lang w:val="en-US" w:bidi="en-US"/>
        </w:rPr>
        <w:t xml:space="preserve"> M, </w:t>
      </w:r>
      <w:proofErr w:type="spellStart"/>
      <w:r w:rsidRPr="0092458B">
        <w:rPr>
          <w:rFonts w:cstheme="minorHAnsi"/>
          <w:sz w:val="24"/>
          <w:szCs w:val="24"/>
          <w:lang w:val="en-US" w:bidi="en-US"/>
        </w:rPr>
        <w:t>Hvinden</w:t>
      </w:r>
      <w:proofErr w:type="spellEnd"/>
      <w:r w:rsidRPr="0092458B">
        <w:rPr>
          <w:rFonts w:cstheme="minorHAnsi"/>
          <w:sz w:val="24"/>
          <w:szCs w:val="24"/>
          <w:lang w:val="en-US" w:bidi="en-US"/>
        </w:rPr>
        <w:t xml:space="preserve"> B, </w:t>
      </w:r>
      <w:proofErr w:type="spellStart"/>
      <w:r w:rsidRPr="0092458B">
        <w:rPr>
          <w:rFonts w:cstheme="minorHAnsi"/>
          <w:sz w:val="24"/>
          <w:szCs w:val="24"/>
          <w:lang w:val="en-US" w:bidi="en-US"/>
        </w:rPr>
        <w:t>Leiren</w:t>
      </w:r>
      <w:proofErr w:type="spellEnd"/>
      <w:r w:rsidRPr="0092458B">
        <w:rPr>
          <w:rFonts w:cstheme="minorHAnsi"/>
          <w:sz w:val="24"/>
          <w:szCs w:val="24"/>
          <w:lang w:val="en-US" w:bidi="en-US"/>
        </w:rPr>
        <w:t xml:space="preserve"> D (2022) Welfare state sustainability in the 21</w:t>
      </w:r>
      <w:r w:rsidRPr="0092458B">
        <w:rPr>
          <w:rFonts w:cstheme="minorHAnsi"/>
          <w:sz w:val="24"/>
          <w:szCs w:val="24"/>
          <w:vertAlign w:val="superscript"/>
          <w:lang w:val="en-US" w:bidi="en-US"/>
        </w:rPr>
        <w:t>st</w:t>
      </w:r>
      <w:r w:rsidRPr="0092458B">
        <w:rPr>
          <w:rFonts w:cstheme="minorHAnsi"/>
          <w:sz w:val="24"/>
          <w:szCs w:val="24"/>
          <w:lang w:val="en-US" w:bidi="en-US"/>
        </w:rPr>
        <w:t xml:space="preserve"> century. In: </w:t>
      </w:r>
      <w:proofErr w:type="spellStart"/>
      <w:r w:rsidRPr="0092458B">
        <w:rPr>
          <w:rFonts w:cstheme="minorHAnsi"/>
          <w:sz w:val="24"/>
          <w:szCs w:val="24"/>
          <w:lang w:val="en-US" w:bidi="en-US"/>
        </w:rPr>
        <w:t>Schoyen</w:t>
      </w:r>
      <w:proofErr w:type="spellEnd"/>
      <w:r w:rsidRPr="0092458B">
        <w:rPr>
          <w:rFonts w:cstheme="minorHAnsi"/>
          <w:sz w:val="24"/>
          <w:szCs w:val="24"/>
          <w:lang w:val="en-US" w:bidi="en-US"/>
        </w:rPr>
        <w:t xml:space="preserve"> </w:t>
      </w:r>
    </w:p>
    <w:p w14:paraId="3432F5D1" w14:textId="6A661502" w:rsidR="004B637C" w:rsidRPr="0092458B" w:rsidRDefault="004B637C" w:rsidP="00A640DF">
      <w:pPr>
        <w:spacing w:after="0" w:line="240" w:lineRule="auto"/>
        <w:rPr>
          <w:rFonts w:cstheme="minorHAnsi"/>
          <w:sz w:val="24"/>
          <w:szCs w:val="24"/>
          <w:lang w:val="en-US"/>
        </w:rPr>
      </w:pPr>
      <w:r w:rsidRPr="0092458B">
        <w:rPr>
          <w:rFonts w:cstheme="minorHAnsi"/>
          <w:sz w:val="24"/>
          <w:szCs w:val="24"/>
          <w:lang w:val="en-US" w:bidi="en-US"/>
        </w:rPr>
        <w:t xml:space="preserve">M, </w:t>
      </w:r>
      <w:proofErr w:type="spellStart"/>
      <w:r w:rsidRPr="0092458B">
        <w:rPr>
          <w:rFonts w:cstheme="minorHAnsi"/>
          <w:sz w:val="24"/>
          <w:szCs w:val="24"/>
          <w:lang w:val="en-US" w:bidi="en-US"/>
        </w:rPr>
        <w:t>Hvinden</w:t>
      </w:r>
      <w:proofErr w:type="spellEnd"/>
      <w:r w:rsidRPr="0092458B">
        <w:rPr>
          <w:rFonts w:cstheme="minorHAnsi"/>
          <w:sz w:val="24"/>
          <w:szCs w:val="24"/>
          <w:lang w:val="en-US" w:bidi="en-US"/>
        </w:rPr>
        <w:t xml:space="preserve"> B, </w:t>
      </w:r>
      <w:proofErr w:type="spellStart"/>
      <w:r w:rsidRPr="0092458B">
        <w:rPr>
          <w:rFonts w:cstheme="minorHAnsi"/>
          <w:sz w:val="24"/>
          <w:szCs w:val="24"/>
          <w:lang w:val="en-US" w:bidi="en-US"/>
        </w:rPr>
        <w:t>Leiren</w:t>
      </w:r>
      <w:proofErr w:type="spellEnd"/>
      <w:r w:rsidRPr="0092458B">
        <w:rPr>
          <w:rFonts w:cstheme="minorHAnsi"/>
          <w:sz w:val="24"/>
          <w:szCs w:val="24"/>
          <w:lang w:val="en-US" w:bidi="en-US"/>
        </w:rPr>
        <w:t xml:space="preserve"> D (eds.) Towards sustainable welfare states in Europe. Edward Elgar, Cheltenham, p. 2-27.</w:t>
      </w:r>
    </w:p>
    <w:p w14:paraId="3099C89C" w14:textId="77777777" w:rsidR="0037624F" w:rsidRPr="0092458B" w:rsidRDefault="0037624F" w:rsidP="00A640DF">
      <w:pPr>
        <w:spacing w:after="0" w:line="240" w:lineRule="auto"/>
        <w:rPr>
          <w:rFonts w:cstheme="minorHAnsi"/>
          <w:sz w:val="24"/>
          <w:szCs w:val="24"/>
          <w:lang w:val="en-US"/>
        </w:rPr>
      </w:pPr>
    </w:p>
    <w:p w14:paraId="158F00F6" w14:textId="384E582F" w:rsidR="00F62E0C" w:rsidRPr="0092458B" w:rsidRDefault="00F62E0C" w:rsidP="00A640DF">
      <w:pPr>
        <w:spacing w:after="0" w:line="240" w:lineRule="auto"/>
        <w:rPr>
          <w:rFonts w:cstheme="minorHAnsi"/>
          <w:sz w:val="24"/>
          <w:szCs w:val="24"/>
          <w:lang w:val="en-US"/>
        </w:rPr>
      </w:pPr>
      <w:r w:rsidRPr="0092458B">
        <w:rPr>
          <w:rFonts w:cstheme="minorHAnsi"/>
          <w:sz w:val="24"/>
          <w:szCs w:val="24"/>
          <w:lang w:val="en-US" w:bidi="en-US"/>
        </w:rPr>
        <w:t xml:space="preserve">Schmelzer M, Vetter A, </w:t>
      </w:r>
      <w:proofErr w:type="spellStart"/>
      <w:r w:rsidRPr="0092458B">
        <w:rPr>
          <w:rFonts w:cstheme="minorHAnsi"/>
          <w:sz w:val="24"/>
          <w:szCs w:val="24"/>
          <w:lang w:val="en-US" w:bidi="en-US"/>
        </w:rPr>
        <w:t>Vansintjan</w:t>
      </w:r>
      <w:proofErr w:type="spellEnd"/>
      <w:r w:rsidRPr="0092458B">
        <w:rPr>
          <w:rFonts w:cstheme="minorHAnsi"/>
          <w:sz w:val="24"/>
          <w:szCs w:val="24"/>
          <w:lang w:val="en-US" w:bidi="en-US"/>
        </w:rPr>
        <w:t xml:space="preserve"> A (2022) The future is degrowth. A guide to a world beyond capitalism. Verso, London</w:t>
      </w:r>
    </w:p>
    <w:p w14:paraId="36B1ECF8" w14:textId="77777777" w:rsidR="0037624F" w:rsidRPr="0092458B" w:rsidRDefault="0037624F" w:rsidP="00A640DF">
      <w:pPr>
        <w:spacing w:after="0" w:line="240" w:lineRule="auto"/>
        <w:rPr>
          <w:rFonts w:cstheme="minorHAnsi"/>
          <w:sz w:val="24"/>
          <w:szCs w:val="24"/>
          <w:lang w:val="en-US"/>
        </w:rPr>
      </w:pPr>
    </w:p>
    <w:p w14:paraId="4166A687" w14:textId="0EBE543A" w:rsidR="008803E3" w:rsidRPr="0092458B" w:rsidRDefault="008803E3" w:rsidP="00A640DF">
      <w:pPr>
        <w:spacing w:after="0" w:line="240" w:lineRule="auto"/>
        <w:rPr>
          <w:rFonts w:cstheme="minorHAnsi"/>
          <w:sz w:val="24"/>
          <w:szCs w:val="24"/>
          <w:lang w:val="en-US"/>
        </w:rPr>
      </w:pPr>
      <w:r w:rsidRPr="0092458B">
        <w:rPr>
          <w:rFonts w:cstheme="minorHAnsi"/>
          <w:sz w:val="24"/>
          <w:szCs w:val="24"/>
          <w:lang w:val="en-US" w:bidi="en-US"/>
        </w:rPr>
        <w:t xml:space="preserve">Schulken M, Barlow N, </w:t>
      </w:r>
      <w:proofErr w:type="spellStart"/>
      <w:r w:rsidRPr="0092458B">
        <w:rPr>
          <w:rFonts w:cstheme="minorHAnsi"/>
          <w:sz w:val="24"/>
          <w:szCs w:val="24"/>
          <w:lang w:val="en-US" w:bidi="en-US"/>
        </w:rPr>
        <w:t>Cadiou</w:t>
      </w:r>
      <w:proofErr w:type="spellEnd"/>
      <w:r w:rsidRPr="0092458B">
        <w:rPr>
          <w:rFonts w:cstheme="minorHAnsi"/>
          <w:sz w:val="24"/>
          <w:szCs w:val="24"/>
          <w:lang w:val="en-US" w:bidi="en-US"/>
        </w:rPr>
        <w:t xml:space="preserve"> N, </w:t>
      </w:r>
      <w:proofErr w:type="spellStart"/>
      <w:r w:rsidRPr="0092458B">
        <w:rPr>
          <w:rFonts w:cstheme="minorHAnsi"/>
          <w:sz w:val="24"/>
          <w:szCs w:val="24"/>
          <w:lang w:val="en-US" w:bidi="en-US"/>
        </w:rPr>
        <w:t>Chertkovskata</w:t>
      </w:r>
      <w:proofErr w:type="spellEnd"/>
      <w:r w:rsidRPr="0092458B">
        <w:rPr>
          <w:rFonts w:cstheme="minorHAnsi"/>
          <w:sz w:val="24"/>
          <w:szCs w:val="24"/>
          <w:lang w:val="en-US" w:bidi="en-US"/>
        </w:rPr>
        <w:t xml:space="preserve"> E, Hollweg M, Plank C, Regen L, Wolf V (2022) Introduction: strategy for the multiplicity of degrowth. In: Barlow N, Regen L, </w:t>
      </w:r>
      <w:proofErr w:type="spellStart"/>
      <w:r w:rsidRPr="0092458B">
        <w:rPr>
          <w:rFonts w:cstheme="minorHAnsi"/>
          <w:sz w:val="24"/>
          <w:szCs w:val="24"/>
          <w:lang w:val="en-US" w:bidi="en-US"/>
        </w:rPr>
        <w:t>Cadiou</w:t>
      </w:r>
      <w:proofErr w:type="spellEnd"/>
      <w:r w:rsidRPr="0092458B">
        <w:rPr>
          <w:rFonts w:cstheme="minorHAnsi"/>
          <w:sz w:val="24"/>
          <w:szCs w:val="24"/>
          <w:lang w:val="en-US" w:bidi="en-US"/>
        </w:rPr>
        <w:t xml:space="preserve"> N, </w:t>
      </w:r>
      <w:proofErr w:type="spellStart"/>
      <w:r w:rsidRPr="0092458B">
        <w:rPr>
          <w:rFonts w:cstheme="minorHAnsi"/>
          <w:sz w:val="24"/>
          <w:szCs w:val="24"/>
          <w:lang w:val="en-US" w:bidi="en-US"/>
        </w:rPr>
        <w:t>Chertkovskata</w:t>
      </w:r>
      <w:proofErr w:type="spellEnd"/>
      <w:r w:rsidRPr="0092458B">
        <w:rPr>
          <w:rFonts w:cstheme="minorHAnsi"/>
          <w:sz w:val="24"/>
          <w:szCs w:val="24"/>
          <w:lang w:val="en-US" w:bidi="en-US"/>
        </w:rPr>
        <w:t xml:space="preserve"> E, Hollweg M, Plank, C, Schulken, M, Wolf V (eds.) Degrowth &amp; strategy. How to bring about social-ecological transformation. Mayfly Books, p. 9-36</w:t>
      </w:r>
    </w:p>
    <w:p w14:paraId="33CAA2B9" w14:textId="77777777" w:rsidR="0037624F" w:rsidRPr="0092458B" w:rsidRDefault="0037624F" w:rsidP="00A640DF">
      <w:pPr>
        <w:spacing w:after="0" w:line="240" w:lineRule="auto"/>
        <w:rPr>
          <w:rFonts w:cstheme="minorHAnsi"/>
          <w:sz w:val="24"/>
          <w:szCs w:val="24"/>
          <w:lang w:val="en-US"/>
        </w:rPr>
      </w:pPr>
    </w:p>
    <w:p w14:paraId="67980A27" w14:textId="612DC425" w:rsidR="003548D0" w:rsidRPr="0092458B" w:rsidRDefault="003548D0" w:rsidP="00A640DF">
      <w:pPr>
        <w:spacing w:after="0" w:line="240" w:lineRule="auto"/>
        <w:rPr>
          <w:rFonts w:cstheme="minorHAnsi"/>
          <w:sz w:val="24"/>
          <w:szCs w:val="24"/>
          <w:lang w:val="en-US"/>
        </w:rPr>
      </w:pPr>
      <w:r w:rsidRPr="0092458B">
        <w:rPr>
          <w:rFonts w:cstheme="minorHAnsi"/>
          <w:sz w:val="24"/>
          <w:szCs w:val="24"/>
          <w:lang w:val="en-US" w:bidi="en-US"/>
        </w:rPr>
        <w:t>Sivonen J, Koivula (2020) How do social class position and party preference influence support for fossil fuel taxation in the Nordic countries? The Social Science Journal 2020: 1-21</w:t>
      </w:r>
    </w:p>
    <w:p w14:paraId="2F287B6E" w14:textId="77777777" w:rsidR="0037624F" w:rsidRPr="0092458B" w:rsidRDefault="0037624F" w:rsidP="00A640DF">
      <w:pPr>
        <w:spacing w:after="0" w:line="240" w:lineRule="auto"/>
        <w:rPr>
          <w:rFonts w:cstheme="minorHAnsi"/>
          <w:sz w:val="24"/>
          <w:szCs w:val="24"/>
          <w:lang w:val="en-US"/>
        </w:rPr>
      </w:pPr>
    </w:p>
    <w:p w14:paraId="233FF074" w14:textId="29FB779D" w:rsidR="00037250" w:rsidRPr="0092458B" w:rsidRDefault="00037250" w:rsidP="00A640DF">
      <w:pPr>
        <w:spacing w:after="0" w:line="240" w:lineRule="auto"/>
        <w:rPr>
          <w:rFonts w:cstheme="minorHAnsi"/>
          <w:sz w:val="24"/>
          <w:szCs w:val="24"/>
          <w:lang w:val="en-US"/>
        </w:rPr>
      </w:pPr>
      <w:r w:rsidRPr="0092458B">
        <w:rPr>
          <w:rFonts w:cstheme="minorHAnsi"/>
          <w:sz w:val="24"/>
          <w:szCs w:val="24"/>
          <w:lang w:val="en-US" w:bidi="en-US"/>
        </w:rPr>
        <w:t>Sivonen J, Kukkonen I (2021) Is there a link between welfare regime and attitudes toward climate policy instruments. Sociological Perspectives 64 (6): 1145-1165</w:t>
      </w:r>
    </w:p>
    <w:p w14:paraId="339927C7" w14:textId="77777777" w:rsidR="00A40793" w:rsidRPr="0092458B" w:rsidRDefault="00A40793" w:rsidP="00A640DF">
      <w:pPr>
        <w:spacing w:after="0" w:line="240" w:lineRule="auto"/>
        <w:rPr>
          <w:rFonts w:cstheme="minorHAnsi"/>
          <w:sz w:val="24"/>
          <w:szCs w:val="24"/>
          <w:lang w:val="en-US"/>
        </w:rPr>
      </w:pPr>
    </w:p>
    <w:p w14:paraId="21C30EE3" w14:textId="4D398B13" w:rsidR="004B637C" w:rsidRPr="0092458B" w:rsidRDefault="004B637C" w:rsidP="00A640DF">
      <w:pPr>
        <w:spacing w:after="0" w:line="240" w:lineRule="auto"/>
        <w:rPr>
          <w:rFonts w:cstheme="minorHAnsi"/>
          <w:sz w:val="24"/>
          <w:szCs w:val="24"/>
          <w:lang w:val="en-US"/>
        </w:rPr>
      </w:pPr>
      <w:r w:rsidRPr="0092458B">
        <w:rPr>
          <w:rFonts w:cstheme="minorHAnsi"/>
          <w:sz w:val="24"/>
          <w:szCs w:val="24"/>
          <w:lang w:val="en-US" w:bidi="en-US"/>
        </w:rPr>
        <w:t>Smith E, Hempel L (2022) Alignment of values and political orientations amplifies climate change attitudes and behaviors. Climatic Change 172 (4): 1-28</w:t>
      </w:r>
    </w:p>
    <w:p w14:paraId="34FF5D1D" w14:textId="77777777" w:rsidR="00A40793" w:rsidRPr="0092458B" w:rsidRDefault="00A40793" w:rsidP="00A640DF">
      <w:pPr>
        <w:spacing w:after="0" w:line="240" w:lineRule="auto"/>
        <w:rPr>
          <w:rFonts w:cstheme="minorHAnsi"/>
          <w:sz w:val="24"/>
          <w:szCs w:val="24"/>
          <w:lang w:val="en-US"/>
        </w:rPr>
      </w:pPr>
    </w:p>
    <w:p w14:paraId="531EE325" w14:textId="1CF9C4CB" w:rsidR="004B637C" w:rsidRPr="0092458B" w:rsidRDefault="004B637C" w:rsidP="00A640DF">
      <w:pPr>
        <w:spacing w:after="0" w:line="240" w:lineRule="auto"/>
        <w:rPr>
          <w:rFonts w:cstheme="minorHAnsi"/>
          <w:sz w:val="24"/>
          <w:szCs w:val="24"/>
          <w:lang w:val="en-US"/>
        </w:rPr>
      </w:pPr>
      <w:r w:rsidRPr="0092458B">
        <w:rPr>
          <w:rFonts w:cstheme="minorHAnsi"/>
          <w:sz w:val="24"/>
          <w:szCs w:val="24"/>
          <w:lang w:val="en-US" w:bidi="en-US"/>
        </w:rPr>
        <w:t xml:space="preserve">Smith T, Baranowski M., Schmid B (2021) Intentional degrowth and its unintended consequences: </w:t>
      </w:r>
      <w:proofErr w:type="gramStart"/>
      <w:r w:rsidRPr="0092458B">
        <w:rPr>
          <w:rFonts w:cstheme="minorHAnsi"/>
          <w:sz w:val="24"/>
          <w:szCs w:val="24"/>
          <w:lang w:val="en-US" w:bidi="en-US"/>
        </w:rPr>
        <w:t>Uneven</w:t>
      </w:r>
      <w:proofErr w:type="gramEnd"/>
      <w:r w:rsidRPr="0092458B">
        <w:rPr>
          <w:rFonts w:cstheme="minorHAnsi"/>
          <w:sz w:val="24"/>
          <w:szCs w:val="24"/>
          <w:lang w:val="en-US" w:bidi="en-US"/>
        </w:rPr>
        <w:t xml:space="preserve"> journeys towards post-growth transformations. Ecological Economics 190: 1-8</w:t>
      </w:r>
    </w:p>
    <w:p w14:paraId="24E8201F" w14:textId="500A86C3" w:rsidR="00A40793" w:rsidRPr="0092458B" w:rsidRDefault="00A40793" w:rsidP="00A640DF">
      <w:pPr>
        <w:autoSpaceDE w:val="0"/>
        <w:autoSpaceDN w:val="0"/>
        <w:adjustRightInd w:val="0"/>
        <w:spacing w:after="0" w:line="240" w:lineRule="auto"/>
        <w:rPr>
          <w:rFonts w:cstheme="minorHAnsi"/>
          <w:sz w:val="24"/>
          <w:szCs w:val="24"/>
          <w:lang w:val="en-US"/>
        </w:rPr>
      </w:pPr>
    </w:p>
    <w:p w14:paraId="3EE0C699" w14:textId="6FCBE965" w:rsidR="00A435DA" w:rsidRPr="0092458B" w:rsidRDefault="00A435DA"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Spangenberg J, Lorek S (2019). Sufficiency and consumer behavior: From theory to policy. Energy Policy 129: 1070-1079</w:t>
      </w:r>
    </w:p>
    <w:p w14:paraId="7F35C4DF" w14:textId="77777777" w:rsidR="00A435DA" w:rsidRPr="0092458B" w:rsidRDefault="00A435DA" w:rsidP="00A640DF">
      <w:pPr>
        <w:autoSpaceDE w:val="0"/>
        <w:autoSpaceDN w:val="0"/>
        <w:adjustRightInd w:val="0"/>
        <w:spacing w:after="0" w:line="240" w:lineRule="auto"/>
        <w:rPr>
          <w:rFonts w:cstheme="minorHAnsi"/>
          <w:sz w:val="24"/>
          <w:szCs w:val="24"/>
          <w:lang w:val="en-US"/>
        </w:rPr>
      </w:pPr>
    </w:p>
    <w:p w14:paraId="28C59596" w14:textId="76A3A675" w:rsidR="003567B0" w:rsidRPr="0092458B" w:rsidRDefault="003567B0"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Standing G (2017) Basic income, and how we can make it happen. Pelican, London</w:t>
      </w:r>
    </w:p>
    <w:p w14:paraId="6D412E25" w14:textId="77777777" w:rsidR="003567B0" w:rsidRPr="0092458B" w:rsidRDefault="003567B0" w:rsidP="00A640DF">
      <w:pPr>
        <w:autoSpaceDE w:val="0"/>
        <w:autoSpaceDN w:val="0"/>
        <w:adjustRightInd w:val="0"/>
        <w:spacing w:after="0" w:line="240" w:lineRule="auto"/>
        <w:rPr>
          <w:rFonts w:cstheme="minorHAnsi"/>
          <w:sz w:val="24"/>
          <w:szCs w:val="24"/>
          <w:lang w:val="en-US"/>
        </w:rPr>
      </w:pPr>
    </w:p>
    <w:p w14:paraId="3BEB1797" w14:textId="4B939266" w:rsidR="00D21C57" w:rsidRPr="0092458B" w:rsidRDefault="005F2BCC"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 xml:space="preserve">Stoddard I, Anderson K, Capstick S, Carton W, Depledge J, Facer K, Gough C, Hache F, </w:t>
      </w:r>
      <w:proofErr w:type="spellStart"/>
      <w:r w:rsidRPr="0092458B">
        <w:rPr>
          <w:rFonts w:cstheme="minorHAnsi"/>
          <w:sz w:val="24"/>
          <w:szCs w:val="24"/>
          <w:lang w:val="en-US" w:bidi="en-US"/>
        </w:rPr>
        <w:t>Hoolohan</w:t>
      </w:r>
      <w:proofErr w:type="spellEnd"/>
      <w:r w:rsidRPr="0092458B">
        <w:rPr>
          <w:rFonts w:cstheme="minorHAnsi"/>
          <w:sz w:val="24"/>
          <w:szCs w:val="24"/>
          <w:lang w:val="en-US" w:bidi="en-US"/>
        </w:rPr>
        <w:t xml:space="preserve"> C, Hultman M, Hällström N, Kartha S, Klinsky S, Kuchler M, </w:t>
      </w:r>
      <w:proofErr w:type="spellStart"/>
      <w:r w:rsidRPr="0092458B">
        <w:rPr>
          <w:rFonts w:cstheme="minorHAnsi"/>
          <w:sz w:val="24"/>
          <w:szCs w:val="24"/>
          <w:lang w:val="en-US" w:bidi="en-US"/>
        </w:rPr>
        <w:t>Lövbrand</w:t>
      </w:r>
      <w:proofErr w:type="spellEnd"/>
      <w:r w:rsidRPr="0092458B">
        <w:rPr>
          <w:rFonts w:cstheme="minorHAnsi"/>
          <w:sz w:val="24"/>
          <w:szCs w:val="24"/>
          <w:lang w:val="en-US" w:bidi="en-US"/>
        </w:rPr>
        <w:t xml:space="preserve"> E, </w:t>
      </w:r>
      <w:proofErr w:type="spellStart"/>
      <w:r w:rsidRPr="0092458B">
        <w:rPr>
          <w:rFonts w:cstheme="minorHAnsi"/>
          <w:sz w:val="24"/>
          <w:szCs w:val="24"/>
          <w:lang w:val="en-US" w:bidi="en-US"/>
        </w:rPr>
        <w:t>Nasiritousi</w:t>
      </w:r>
      <w:proofErr w:type="spellEnd"/>
      <w:r w:rsidRPr="0092458B">
        <w:rPr>
          <w:rFonts w:cstheme="minorHAnsi"/>
          <w:sz w:val="24"/>
          <w:szCs w:val="24"/>
          <w:lang w:val="en-US" w:bidi="en-US"/>
        </w:rPr>
        <w:t xml:space="preserve"> N, Newell </w:t>
      </w:r>
      <w:proofErr w:type="gramStart"/>
      <w:r w:rsidRPr="0092458B">
        <w:rPr>
          <w:rFonts w:cstheme="minorHAnsi"/>
          <w:sz w:val="24"/>
          <w:szCs w:val="24"/>
          <w:lang w:val="en-US" w:bidi="en-US"/>
        </w:rPr>
        <w:t>P,  Peters</w:t>
      </w:r>
      <w:proofErr w:type="gramEnd"/>
      <w:r w:rsidRPr="0092458B">
        <w:rPr>
          <w:rFonts w:cstheme="minorHAnsi"/>
          <w:sz w:val="24"/>
          <w:szCs w:val="24"/>
          <w:lang w:val="en-US" w:bidi="en-US"/>
        </w:rPr>
        <w:t xml:space="preserve"> G, Sokona Y, Stirling A, Stilwell M, </w:t>
      </w:r>
      <w:proofErr w:type="spellStart"/>
      <w:r w:rsidRPr="0092458B">
        <w:rPr>
          <w:rFonts w:cstheme="minorHAnsi"/>
          <w:sz w:val="24"/>
          <w:szCs w:val="24"/>
          <w:lang w:val="en-US" w:bidi="en-US"/>
        </w:rPr>
        <w:t>Spash</w:t>
      </w:r>
      <w:proofErr w:type="spellEnd"/>
      <w:r w:rsidRPr="0092458B">
        <w:rPr>
          <w:rFonts w:cstheme="minorHAnsi"/>
          <w:sz w:val="24"/>
          <w:szCs w:val="24"/>
          <w:lang w:val="en-US" w:bidi="en-US"/>
        </w:rPr>
        <w:t xml:space="preserve"> C, Williams M (2021). Three decades of climate mitigation: Why haven’t we bent the global emissions curve? Annual Review of Environment and Resources 46: 653-689.  </w:t>
      </w:r>
    </w:p>
    <w:p w14:paraId="3E623A1E" w14:textId="77777777" w:rsidR="00AD4D9D" w:rsidRPr="0092458B" w:rsidRDefault="00AD4D9D" w:rsidP="00A640DF">
      <w:pPr>
        <w:autoSpaceDE w:val="0"/>
        <w:autoSpaceDN w:val="0"/>
        <w:adjustRightInd w:val="0"/>
        <w:spacing w:after="0" w:line="240" w:lineRule="auto"/>
        <w:rPr>
          <w:rFonts w:cstheme="minorHAnsi"/>
          <w:sz w:val="24"/>
          <w:szCs w:val="24"/>
          <w:lang w:val="en-US"/>
        </w:rPr>
      </w:pPr>
    </w:p>
    <w:p w14:paraId="51AA7D2B" w14:textId="471423B4" w:rsidR="00C60B5A" w:rsidRPr="0092458B" w:rsidRDefault="00C60B5A"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 xml:space="preserve">Trainer T (2010) The transition to a sustainable and just world. </w:t>
      </w:r>
      <w:proofErr w:type="spellStart"/>
      <w:r w:rsidRPr="0092458B">
        <w:rPr>
          <w:rFonts w:cstheme="minorHAnsi"/>
          <w:sz w:val="24"/>
          <w:szCs w:val="24"/>
          <w:lang w:val="en-US" w:bidi="en-US"/>
        </w:rPr>
        <w:t>Envirobook</w:t>
      </w:r>
      <w:proofErr w:type="spellEnd"/>
      <w:r w:rsidRPr="0092458B">
        <w:rPr>
          <w:rFonts w:cstheme="minorHAnsi"/>
          <w:sz w:val="24"/>
          <w:szCs w:val="24"/>
          <w:lang w:val="en-US" w:bidi="en-US"/>
        </w:rPr>
        <w:t>, Sydney</w:t>
      </w:r>
    </w:p>
    <w:p w14:paraId="0DAD0CF3" w14:textId="77777777" w:rsidR="00C60B5A" w:rsidRPr="0092458B" w:rsidRDefault="00C60B5A" w:rsidP="00A640DF">
      <w:pPr>
        <w:autoSpaceDE w:val="0"/>
        <w:autoSpaceDN w:val="0"/>
        <w:adjustRightInd w:val="0"/>
        <w:spacing w:after="0" w:line="240" w:lineRule="auto"/>
        <w:rPr>
          <w:rFonts w:cstheme="minorHAnsi"/>
          <w:sz w:val="24"/>
          <w:szCs w:val="24"/>
          <w:lang w:val="en-US"/>
        </w:rPr>
      </w:pPr>
    </w:p>
    <w:p w14:paraId="4C9FA86B" w14:textId="790A0BDD" w:rsidR="00605A19" w:rsidRPr="0092458B" w:rsidRDefault="00605A19"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United Nations (2022). COP15 -  UN Secretary-General’s Remarks to the UN Biodiversity Conference</w:t>
      </w:r>
      <w:r w:rsidR="00664F7F" w:rsidRPr="0092458B">
        <w:rPr>
          <w:lang w:val="en-US" w:bidi="en-US"/>
        </w:rPr>
        <w:t xml:space="preserve"> </w:t>
      </w:r>
      <w:hyperlink r:id="rId9" w:history="1">
        <w:r w:rsidR="00664F7F" w:rsidRPr="0092458B">
          <w:rPr>
            <w:rStyle w:val="Hyperlink"/>
            <w:rFonts w:cstheme="minorHAnsi"/>
            <w:color w:val="auto"/>
            <w:sz w:val="24"/>
            <w:szCs w:val="24"/>
            <w:lang w:val="en-US" w:bidi="en-US"/>
          </w:rPr>
          <w:t>https://unric.org/it/cop15-un-secretary-generals-remarks-to-the-un-biodiversity-conference/</w:t>
        </w:r>
      </w:hyperlink>
      <w:r w:rsidR="00335C23" w:rsidRPr="0092458B">
        <w:rPr>
          <w:rFonts w:cstheme="minorHAnsi"/>
          <w:sz w:val="24"/>
          <w:szCs w:val="24"/>
          <w:lang w:val="en-US" w:bidi="en-US"/>
        </w:rPr>
        <w:t xml:space="preserve"> Accessed 10, 2023</w:t>
      </w:r>
    </w:p>
    <w:p w14:paraId="1D58E804" w14:textId="77777777" w:rsidR="00605A19" w:rsidRPr="0092458B" w:rsidRDefault="00605A19" w:rsidP="00A640DF">
      <w:pPr>
        <w:autoSpaceDE w:val="0"/>
        <w:autoSpaceDN w:val="0"/>
        <w:adjustRightInd w:val="0"/>
        <w:spacing w:after="0" w:line="240" w:lineRule="auto"/>
        <w:rPr>
          <w:rFonts w:cstheme="minorHAnsi"/>
          <w:sz w:val="24"/>
          <w:szCs w:val="24"/>
          <w:lang w:val="en-US"/>
        </w:rPr>
      </w:pPr>
    </w:p>
    <w:p w14:paraId="60C079D8" w14:textId="68E37DB9" w:rsidR="00395798" w:rsidRPr="0092458B" w:rsidRDefault="00395798" w:rsidP="00A640DF">
      <w:pPr>
        <w:autoSpaceDE w:val="0"/>
        <w:autoSpaceDN w:val="0"/>
        <w:adjustRightInd w:val="0"/>
        <w:spacing w:after="0" w:line="240" w:lineRule="auto"/>
        <w:rPr>
          <w:rFonts w:cstheme="minorHAnsi"/>
          <w:sz w:val="24"/>
          <w:szCs w:val="24"/>
          <w:lang w:val="en-US"/>
        </w:rPr>
      </w:pPr>
      <w:proofErr w:type="spellStart"/>
      <w:r w:rsidRPr="0092458B">
        <w:rPr>
          <w:rFonts w:cstheme="minorHAnsi"/>
          <w:sz w:val="24"/>
          <w:szCs w:val="24"/>
          <w:lang w:val="en-US" w:bidi="en-US"/>
        </w:rPr>
        <w:lastRenderedPageBreak/>
        <w:t>Vadén</w:t>
      </w:r>
      <w:proofErr w:type="spellEnd"/>
      <w:r w:rsidRPr="0092458B">
        <w:rPr>
          <w:rFonts w:cstheme="minorHAnsi"/>
          <w:sz w:val="24"/>
          <w:szCs w:val="24"/>
          <w:lang w:val="en-US" w:bidi="en-US"/>
        </w:rPr>
        <w:t xml:space="preserve"> T, Lähde V, Antti M, </w:t>
      </w:r>
      <w:proofErr w:type="spellStart"/>
      <w:r w:rsidRPr="0092458B">
        <w:rPr>
          <w:rFonts w:cstheme="minorHAnsi"/>
          <w:sz w:val="24"/>
          <w:szCs w:val="24"/>
          <w:lang w:val="en-US" w:bidi="en-US"/>
        </w:rPr>
        <w:t>Järvensivu</w:t>
      </w:r>
      <w:proofErr w:type="spellEnd"/>
      <w:r w:rsidRPr="0092458B">
        <w:rPr>
          <w:rFonts w:cstheme="minorHAnsi"/>
          <w:sz w:val="24"/>
          <w:szCs w:val="24"/>
          <w:lang w:val="en-US" w:bidi="en-US"/>
        </w:rPr>
        <w:t xml:space="preserve"> P, Toivanen T, Hakala E, Eronen J (2020) Decoupling for ecological sustainability: A </w:t>
      </w:r>
      <w:proofErr w:type="spellStart"/>
      <w:r w:rsidRPr="0092458B">
        <w:rPr>
          <w:rFonts w:cstheme="minorHAnsi"/>
          <w:sz w:val="24"/>
          <w:szCs w:val="24"/>
          <w:lang w:val="en-US" w:bidi="en-US"/>
        </w:rPr>
        <w:t>categorisation</w:t>
      </w:r>
      <w:proofErr w:type="spellEnd"/>
      <w:r w:rsidRPr="0092458B">
        <w:rPr>
          <w:rFonts w:cstheme="minorHAnsi"/>
          <w:sz w:val="24"/>
          <w:szCs w:val="24"/>
          <w:lang w:val="en-US" w:bidi="en-US"/>
        </w:rPr>
        <w:t xml:space="preserve"> and review of research literature. Environmental Science &amp; Policy 112: 236-244</w:t>
      </w:r>
    </w:p>
    <w:p w14:paraId="0462FF8C" w14:textId="77777777" w:rsidR="00395798" w:rsidRPr="0092458B" w:rsidRDefault="00395798" w:rsidP="00A640DF">
      <w:pPr>
        <w:autoSpaceDE w:val="0"/>
        <w:autoSpaceDN w:val="0"/>
        <w:adjustRightInd w:val="0"/>
        <w:spacing w:after="0" w:line="240" w:lineRule="auto"/>
        <w:rPr>
          <w:rFonts w:cstheme="minorHAnsi"/>
          <w:sz w:val="24"/>
          <w:szCs w:val="24"/>
          <w:lang w:val="en-US"/>
        </w:rPr>
      </w:pPr>
    </w:p>
    <w:p w14:paraId="25D7F3D5" w14:textId="6735FDDD" w:rsidR="00EC5DA7" w:rsidRPr="0092458B" w:rsidRDefault="00EC5DA7" w:rsidP="00A640DF">
      <w:pPr>
        <w:autoSpaceDE w:val="0"/>
        <w:autoSpaceDN w:val="0"/>
        <w:adjustRightInd w:val="0"/>
        <w:spacing w:after="0" w:line="240" w:lineRule="auto"/>
        <w:rPr>
          <w:rFonts w:cstheme="minorHAnsi"/>
          <w:sz w:val="24"/>
          <w:szCs w:val="24"/>
          <w:lang w:val="en-US"/>
        </w:rPr>
      </w:pPr>
      <w:r w:rsidRPr="0092458B">
        <w:rPr>
          <w:rFonts w:cstheme="minorHAnsi"/>
          <w:sz w:val="24"/>
          <w:szCs w:val="24"/>
          <w:lang w:val="en-US" w:bidi="en-US"/>
        </w:rPr>
        <w:t xml:space="preserve">Van den </w:t>
      </w:r>
      <w:proofErr w:type="spellStart"/>
      <w:r w:rsidRPr="0092458B">
        <w:rPr>
          <w:rFonts w:cstheme="minorHAnsi"/>
          <w:sz w:val="24"/>
          <w:szCs w:val="24"/>
          <w:lang w:val="en-US" w:bidi="en-US"/>
        </w:rPr>
        <w:t>Begh</w:t>
      </w:r>
      <w:proofErr w:type="spellEnd"/>
      <w:r w:rsidRPr="0092458B">
        <w:rPr>
          <w:rFonts w:cstheme="minorHAnsi"/>
          <w:sz w:val="24"/>
          <w:szCs w:val="24"/>
          <w:lang w:val="en-US" w:bidi="en-US"/>
        </w:rPr>
        <w:t>, J, Kallis G (2012) Growth, a-growth or degrowth to stay within planetary boundaries? Journal of Economic Issues, 46(4): 909-918</w:t>
      </w:r>
    </w:p>
    <w:p w14:paraId="35EDBE40" w14:textId="77777777" w:rsidR="009F63A5" w:rsidRPr="0092458B" w:rsidRDefault="009F63A5" w:rsidP="00A640DF">
      <w:pPr>
        <w:spacing w:after="0" w:line="240" w:lineRule="auto"/>
        <w:rPr>
          <w:rFonts w:cstheme="minorHAnsi"/>
          <w:sz w:val="24"/>
          <w:szCs w:val="24"/>
          <w:lang w:val="en-US"/>
        </w:rPr>
      </w:pPr>
    </w:p>
    <w:p w14:paraId="7097168D" w14:textId="52A5990F" w:rsidR="00131606" w:rsidRPr="0092458B" w:rsidRDefault="00131606" w:rsidP="00A640DF">
      <w:pPr>
        <w:spacing w:after="0" w:line="240" w:lineRule="auto"/>
        <w:rPr>
          <w:rFonts w:cstheme="minorHAnsi"/>
          <w:sz w:val="24"/>
          <w:szCs w:val="24"/>
          <w:lang w:val="en-US" w:bidi="en-US"/>
        </w:rPr>
      </w:pPr>
      <w:r w:rsidRPr="0092458B">
        <w:rPr>
          <w:rFonts w:cstheme="minorHAnsi"/>
          <w:sz w:val="24"/>
          <w:szCs w:val="24"/>
          <w:lang w:val="en-US" w:bidi="en-US"/>
        </w:rPr>
        <w:t>Vogel J, Steinberger J, O’Neill D, Lamb W, Krishnakumar, J (2021) Socio-economic conditions for satisfying human needs at low energy use: An international analysis of social provisioning. Global Environmental Change 69: 1-15</w:t>
      </w:r>
    </w:p>
    <w:p w14:paraId="07E58114" w14:textId="77777777" w:rsidR="000D616A" w:rsidRPr="0092458B" w:rsidRDefault="000D616A" w:rsidP="00A640DF">
      <w:pPr>
        <w:spacing w:after="0" w:line="240" w:lineRule="auto"/>
        <w:rPr>
          <w:rFonts w:cstheme="minorHAnsi"/>
          <w:sz w:val="24"/>
          <w:szCs w:val="24"/>
          <w:lang w:val="en-US" w:bidi="en-US"/>
        </w:rPr>
      </w:pPr>
    </w:p>
    <w:p w14:paraId="73FC67EF" w14:textId="30AEACD8" w:rsidR="000D616A" w:rsidRPr="0092458B" w:rsidRDefault="00B71E92" w:rsidP="00A640DF">
      <w:pPr>
        <w:spacing w:after="0" w:line="240" w:lineRule="auto"/>
        <w:rPr>
          <w:rFonts w:cstheme="minorHAnsi"/>
          <w:sz w:val="24"/>
          <w:szCs w:val="24"/>
          <w:lang w:val="en-US"/>
        </w:rPr>
      </w:pPr>
      <w:bookmarkStart w:id="1" w:name="_Hlk145156021"/>
      <w:r w:rsidRPr="0092458B">
        <w:rPr>
          <w:rFonts w:cstheme="minorHAnsi"/>
          <w:sz w:val="24"/>
          <w:szCs w:val="24"/>
          <w:lang w:val="en-US"/>
        </w:rPr>
        <w:t>Vogel J, Hickel J</w:t>
      </w:r>
      <w:r w:rsidR="00DE6D46" w:rsidRPr="0092458B">
        <w:rPr>
          <w:rFonts w:cstheme="minorHAnsi"/>
          <w:sz w:val="24"/>
          <w:szCs w:val="24"/>
          <w:lang w:val="en-US"/>
        </w:rPr>
        <w:t xml:space="preserve"> (2023). Is green growth happening? An empirical analysis of achieved versus Paris-compliant CO2-GDP decoupling in high-income countries. </w:t>
      </w:r>
      <w:r w:rsidR="005A7A9E" w:rsidRPr="0092458B">
        <w:rPr>
          <w:rFonts w:cstheme="minorHAnsi"/>
          <w:sz w:val="24"/>
          <w:szCs w:val="24"/>
          <w:lang w:val="en-US"/>
        </w:rPr>
        <w:t xml:space="preserve">Lancet Planetary Health </w:t>
      </w:r>
      <w:r w:rsidR="00024DA3" w:rsidRPr="0092458B">
        <w:rPr>
          <w:rFonts w:cstheme="minorHAnsi"/>
          <w:sz w:val="24"/>
          <w:szCs w:val="24"/>
          <w:lang w:val="en-US"/>
        </w:rPr>
        <w:t>e7: e759-e769</w:t>
      </w:r>
    </w:p>
    <w:bookmarkEnd w:id="1"/>
    <w:p w14:paraId="566539A2" w14:textId="77777777" w:rsidR="005A7A9E" w:rsidRPr="0092458B" w:rsidRDefault="005A7A9E" w:rsidP="00A640DF">
      <w:pPr>
        <w:spacing w:after="0" w:line="240" w:lineRule="auto"/>
        <w:rPr>
          <w:rFonts w:cstheme="minorHAnsi"/>
          <w:sz w:val="24"/>
          <w:szCs w:val="24"/>
          <w:lang w:val="en-US"/>
        </w:rPr>
      </w:pPr>
    </w:p>
    <w:p w14:paraId="362229EA" w14:textId="4DCCD97C" w:rsidR="009F63A5" w:rsidRPr="0092458B" w:rsidRDefault="009F63A5" w:rsidP="00A640DF">
      <w:pPr>
        <w:spacing w:after="0" w:line="240" w:lineRule="auto"/>
        <w:rPr>
          <w:rFonts w:cstheme="minorHAnsi"/>
          <w:sz w:val="24"/>
          <w:szCs w:val="24"/>
          <w:lang w:val="en-US"/>
        </w:rPr>
      </w:pPr>
      <w:r w:rsidRPr="0092458B">
        <w:rPr>
          <w:rFonts w:cstheme="minorHAnsi"/>
          <w:sz w:val="24"/>
          <w:szCs w:val="24"/>
          <w:lang w:val="en-US" w:bidi="en-US"/>
        </w:rPr>
        <w:t>Wahlund M, Hansen T (2022) Exploring alternative economic pathways: A comparison of foundational economy and doughnut economics. Sustainability: Science, Practice and Policy 18 (1): 171-186</w:t>
      </w:r>
    </w:p>
    <w:p w14:paraId="5442B8E4" w14:textId="77777777" w:rsidR="00A40793" w:rsidRPr="0092458B" w:rsidRDefault="00A40793" w:rsidP="00A640DF">
      <w:pPr>
        <w:spacing w:after="0" w:line="240" w:lineRule="auto"/>
        <w:rPr>
          <w:rFonts w:cstheme="minorHAnsi"/>
          <w:sz w:val="24"/>
          <w:szCs w:val="24"/>
          <w:lang w:val="en-US"/>
        </w:rPr>
      </w:pPr>
    </w:p>
    <w:p w14:paraId="15B72629" w14:textId="57D819E2" w:rsidR="006B3B99" w:rsidRPr="0092458B" w:rsidRDefault="006B3B99" w:rsidP="00A640DF">
      <w:pPr>
        <w:spacing w:after="0" w:line="240" w:lineRule="auto"/>
        <w:rPr>
          <w:rFonts w:cstheme="minorHAnsi"/>
          <w:sz w:val="24"/>
          <w:szCs w:val="24"/>
          <w:lang w:val="en-US"/>
        </w:rPr>
      </w:pPr>
      <w:r w:rsidRPr="0092458B">
        <w:rPr>
          <w:rFonts w:cstheme="minorHAnsi"/>
          <w:sz w:val="24"/>
          <w:szCs w:val="24"/>
          <w:lang w:val="en-US" w:bidi="en-US"/>
        </w:rPr>
        <w:t xml:space="preserve">Walker C, Jackson T (2021). Tackling growth dependency – the case of adult social care. Centre for the Understanding of Sustainable Prosperity (CUSP) working paper no. 28. </w:t>
      </w:r>
    </w:p>
    <w:p w14:paraId="72E085E6" w14:textId="77777777" w:rsidR="00AA5971" w:rsidRPr="0092458B" w:rsidRDefault="00AA5971" w:rsidP="00A640DF">
      <w:pPr>
        <w:spacing w:after="0" w:line="240" w:lineRule="auto"/>
        <w:rPr>
          <w:rFonts w:cstheme="minorHAnsi"/>
          <w:sz w:val="24"/>
          <w:szCs w:val="24"/>
          <w:lang w:val="en-US"/>
        </w:rPr>
      </w:pPr>
    </w:p>
    <w:p w14:paraId="69C1FF04" w14:textId="7A2C6F4F" w:rsidR="00651DCD" w:rsidRPr="0092458B" w:rsidRDefault="00651DCD" w:rsidP="00A640DF">
      <w:pPr>
        <w:spacing w:after="0" w:line="240" w:lineRule="auto"/>
        <w:rPr>
          <w:rFonts w:cstheme="minorHAnsi"/>
          <w:sz w:val="24"/>
          <w:szCs w:val="24"/>
          <w:lang w:val="en-US"/>
        </w:rPr>
      </w:pPr>
      <w:r w:rsidRPr="0092458B">
        <w:rPr>
          <w:rFonts w:cstheme="minorHAnsi"/>
          <w:sz w:val="24"/>
          <w:szCs w:val="24"/>
          <w:lang w:val="en-US" w:bidi="en-US"/>
        </w:rPr>
        <w:t xml:space="preserve">Walker C, Druckman A, Jackson T (2021) Welfare systems without economic growth: A review of the challenges and next steps for the Field. Ecological Economics 186: 1-12. </w:t>
      </w:r>
    </w:p>
    <w:p w14:paraId="17B5669E" w14:textId="77777777" w:rsidR="00A40793" w:rsidRPr="0092458B" w:rsidRDefault="00A40793" w:rsidP="00A640DF">
      <w:pPr>
        <w:spacing w:after="0" w:line="240" w:lineRule="auto"/>
        <w:rPr>
          <w:rFonts w:cstheme="minorHAnsi"/>
          <w:sz w:val="24"/>
          <w:szCs w:val="24"/>
          <w:lang w:val="en-US"/>
        </w:rPr>
      </w:pPr>
    </w:p>
    <w:p w14:paraId="16A7390F" w14:textId="2B37D364" w:rsidR="007D23A5" w:rsidRPr="0092458B" w:rsidRDefault="007D23A5" w:rsidP="00A640DF">
      <w:pPr>
        <w:spacing w:after="0" w:line="240" w:lineRule="auto"/>
        <w:rPr>
          <w:rFonts w:cstheme="minorHAnsi"/>
          <w:sz w:val="24"/>
          <w:szCs w:val="24"/>
          <w:lang w:val="en-US"/>
        </w:rPr>
      </w:pPr>
      <w:r w:rsidRPr="0092458B">
        <w:rPr>
          <w:rFonts w:cstheme="minorHAnsi"/>
          <w:sz w:val="24"/>
          <w:szCs w:val="24"/>
          <w:lang w:val="en-US" w:bidi="en-US"/>
        </w:rPr>
        <w:t xml:space="preserve">Ward J, Sutton P, Werner A, Costanza R, Mohr S, Simmons C (2016) Is decoupling GDP growth from environmental impact possible. </w:t>
      </w:r>
      <w:proofErr w:type="spellStart"/>
      <w:r w:rsidRPr="0092458B">
        <w:rPr>
          <w:rFonts w:cstheme="minorHAnsi"/>
          <w:sz w:val="24"/>
          <w:szCs w:val="24"/>
          <w:lang w:val="en-US" w:bidi="en-US"/>
        </w:rPr>
        <w:t>PLoS</w:t>
      </w:r>
      <w:proofErr w:type="spellEnd"/>
      <w:r w:rsidRPr="0092458B">
        <w:rPr>
          <w:rFonts w:cstheme="minorHAnsi"/>
          <w:sz w:val="24"/>
          <w:szCs w:val="24"/>
          <w:lang w:val="en-US" w:bidi="en-US"/>
        </w:rPr>
        <w:t xml:space="preserve"> ONE 11(10): 1-14</w:t>
      </w:r>
    </w:p>
    <w:p w14:paraId="1A5C4494" w14:textId="77777777" w:rsidR="00A40793" w:rsidRPr="0092458B" w:rsidRDefault="00A40793" w:rsidP="00A640DF">
      <w:pPr>
        <w:spacing w:after="0" w:line="240" w:lineRule="auto"/>
        <w:rPr>
          <w:rFonts w:cstheme="minorHAnsi"/>
          <w:sz w:val="24"/>
          <w:szCs w:val="24"/>
          <w:lang w:val="en-US"/>
        </w:rPr>
      </w:pPr>
    </w:p>
    <w:p w14:paraId="69928DB2" w14:textId="2712E15C" w:rsidR="0084376F" w:rsidRPr="0092458B" w:rsidRDefault="0084376F" w:rsidP="00A640DF">
      <w:pPr>
        <w:spacing w:after="0" w:line="240" w:lineRule="auto"/>
        <w:rPr>
          <w:rFonts w:cstheme="minorHAnsi"/>
          <w:sz w:val="24"/>
          <w:szCs w:val="24"/>
          <w:shd w:val="clear" w:color="auto" w:fill="FFFFFF"/>
          <w:lang w:val="en-US"/>
        </w:rPr>
      </w:pPr>
      <w:r w:rsidRPr="0092458B">
        <w:rPr>
          <w:rFonts w:cstheme="minorHAnsi"/>
          <w:sz w:val="24"/>
          <w:szCs w:val="24"/>
          <w:lang w:val="en-US" w:bidi="en-US"/>
        </w:rPr>
        <w:t xml:space="preserve">Wiedmann T, Lenzen M, Keyβer L, Steinberger J (2020) Scientists’ warning on affluence. Nature Communications 11 (3107) </w:t>
      </w:r>
    </w:p>
    <w:p w14:paraId="16BC78D8" w14:textId="77777777" w:rsidR="006E551F" w:rsidRPr="0092458B" w:rsidRDefault="006E551F" w:rsidP="00A640DF">
      <w:pPr>
        <w:spacing w:after="0" w:line="240" w:lineRule="auto"/>
        <w:rPr>
          <w:rFonts w:cstheme="minorHAnsi"/>
          <w:sz w:val="24"/>
          <w:szCs w:val="24"/>
          <w:shd w:val="clear" w:color="auto" w:fill="FFFFFF"/>
          <w:lang w:val="en-US"/>
        </w:rPr>
      </w:pPr>
    </w:p>
    <w:p w14:paraId="53F25092" w14:textId="7F37B234" w:rsidR="009C5250" w:rsidRPr="0092458B" w:rsidRDefault="00E67700" w:rsidP="00A640DF">
      <w:pPr>
        <w:spacing w:after="0" w:line="240" w:lineRule="auto"/>
        <w:rPr>
          <w:rFonts w:cstheme="minorHAnsi"/>
          <w:sz w:val="24"/>
          <w:szCs w:val="24"/>
          <w:shd w:val="clear" w:color="auto" w:fill="FFFFFF"/>
          <w:lang w:val="en-US"/>
        </w:rPr>
      </w:pPr>
      <w:proofErr w:type="spellStart"/>
      <w:r w:rsidRPr="0092458B">
        <w:rPr>
          <w:rFonts w:cstheme="minorHAnsi"/>
          <w:sz w:val="24"/>
          <w:szCs w:val="24"/>
          <w:shd w:val="clear" w:color="auto" w:fill="FFFFFF"/>
          <w:lang w:val="en-US" w:bidi="en-US"/>
        </w:rPr>
        <w:t>Wilkonson</w:t>
      </w:r>
      <w:proofErr w:type="spellEnd"/>
      <w:r w:rsidRPr="0092458B">
        <w:rPr>
          <w:rFonts w:cstheme="minorHAnsi"/>
          <w:sz w:val="24"/>
          <w:szCs w:val="24"/>
          <w:shd w:val="clear" w:color="auto" w:fill="FFFFFF"/>
          <w:lang w:val="en-US" w:bidi="en-US"/>
        </w:rPr>
        <w:t xml:space="preserve"> R, Pickett K (2017). The enemy between us: The Psychological and social costs of inequality. European Journal of Social Psychology 57 (1): 11-24</w:t>
      </w:r>
    </w:p>
    <w:p w14:paraId="6655B746" w14:textId="77777777" w:rsidR="00A40793" w:rsidRPr="0092458B" w:rsidRDefault="00A40793" w:rsidP="00A640DF">
      <w:pPr>
        <w:spacing w:after="0" w:line="240" w:lineRule="auto"/>
        <w:rPr>
          <w:rFonts w:cstheme="minorHAnsi"/>
          <w:sz w:val="24"/>
          <w:szCs w:val="24"/>
          <w:shd w:val="clear" w:color="auto" w:fill="FFFFFF"/>
          <w:lang w:val="en-US"/>
        </w:rPr>
      </w:pPr>
    </w:p>
    <w:p w14:paraId="191D9D5D" w14:textId="7CA523A7" w:rsidR="00884818" w:rsidRPr="0092458B" w:rsidRDefault="00884818" w:rsidP="00A640DF">
      <w:pPr>
        <w:spacing w:after="0" w:line="240" w:lineRule="auto"/>
        <w:rPr>
          <w:rFonts w:cstheme="minorHAnsi"/>
          <w:sz w:val="24"/>
          <w:szCs w:val="24"/>
          <w:shd w:val="clear" w:color="auto" w:fill="FFFFFF"/>
          <w:lang w:val="en-US"/>
        </w:rPr>
      </w:pPr>
      <w:r w:rsidRPr="0092458B">
        <w:rPr>
          <w:rFonts w:cstheme="minorHAnsi"/>
          <w:sz w:val="24"/>
          <w:szCs w:val="24"/>
          <w:shd w:val="clear" w:color="auto" w:fill="FFFFFF"/>
          <w:lang w:val="en-US" w:bidi="en-US"/>
        </w:rPr>
        <w:t>Willis G, Garcia-Sanchez E, Sanchez-Rodriguez A, Garcia-Castro J, Rodriguez-Bailon, R (2022).  The psychosocial effects of economic inequality depend on its perception. Nature Reviews Psychology 1: 301-309</w:t>
      </w:r>
    </w:p>
    <w:p w14:paraId="7CF5336A" w14:textId="77777777" w:rsidR="00A40793" w:rsidRPr="0092458B" w:rsidRDefault="00A40793" w:rsidP="00A640DF">
      <w:pPr>
        <w:spacing w:after="0" w:line="240" w:lineRule="auto"/>
        <w:rPr>
          <w:rFonts w:cstheme="minorHAnsi"/>
          <w:sz w:val="24"/>
          <w:szCs w:val="24"/>
          <w:shd w:val="clear" w:color="auto" w:fill="FFFFFF"/>
          <w:lang w:val="en-US"/>
        </w:rPr>
      </w:pPr>
    </w:p>
    <w:p w14:paraId="3FD5ED48" w14:textId="7022AA89" w:rsidR="001475D9" w:rsidRPr="0092458B" w:rsidRDefault="00D70065" w:rsidP="00A640DF">
      <w:pPr>
        <w:spacing w:after="0" w:line="240" w:lineRule="auto"/>
        <w:rPr>
          <w:rFonts w:cstheme="minorHAnsi"/>
          <w:sz w:val="24"/>
          <w:szCs w:val="24"/>
          <w:lang w:val="en-US"/>
        </w:rPr>
      </w:pPr>
      <w:r w:rsidRPr="0092458B">
        <w:rPr>
          <w:rFonts w:cstheme="minorHAnsi"/>
          <w:sz w:val="24"/>
          <w:szCs w:val="24"/>
          <w:shd w:val="clear" w:color="auto" w:fill="FFFFFF"/>
          <w:lang w:val="en-US" w:bidi="en-US"/>
        </w:rPr>
        <w:t xml:space="preserve">Wiedmann T, </w:t>
      </w:r>
      <w:proofErr w:type="spellStart"/>
      <w:r w:rsidRPr="0092458B">
        <w:rPr>
          <w:rFonts w:cstheme="minorHAnsi"/>
          <w:sz w:val="24"/>
          <w:szCs w:val="24"/>
          <w:shd w:val="clear" w:color="auto" w:fill="FFFFFF"/>
          <w:lang w:val="en-US" w:bidi="en-US"/>
        </w:rPr>
        <w:t>Schandl</w:t>
      </w:r>
      <w:proofErr w:type="spellEnd"/>
      <w:r w:rsidRPr="0092458B">
        <w:rPr>
          <w:rFonts w:cstheme="minorHAnsi"/>
          <w:sz w:val="24"/>
          <w:szCs w:val="24"/>
          <w:shd w:val="clear" w:color="auto" w:fill="FFFFFF"/>
          <w:lang w:val="en-US" w:bidi="en-US"/>
        </w:rPr>
        <w:t xml:space="preserve"> H, Lenzen M, Moran D, Suh S, West J, </w:t>
      </w:r>
      <w:proofErr w:type="spellStart"/>
      <w:r w:rsidRPr="0092458B">
        <w:rPr>
          <w:rFonts w:cstheme="minorHAnsi"/>
          <w:sz w:val="24"/>
          <w:szCs w:val="24"/>
          <w:shd w:val="clear" w:color="auto" w:fill="FFFFFF"/>
          <w:lang w:val="en-US" w:bidi="en-US"/>
        </w:rPr>
        <w:t>Kanemotoc</w:t>
      </w:r>
      <w:proofErr w:type="spellEnd"/>
      <w:r w:rsidRPr="0092458B">
        <w:rPr>
          <w:rFonts w:cstheme="minorHAnsi"/>
          <w:sz w:val="24"/>
          <w:szCs w:val="24"/>
          <w:shd w:val="clear" w:color="auto" w:fill="FFFFFF"/>
          <w:lang w:val="en-US" w:bidi="en-US"/>
        </w:rPr>
        <w:t xml:space="preserve"> K (2015)</w:t>
      </w:r>
      <w:r w:rsidR="001475D9" w:rsidRPr="0092458B">
        <w:rPr>
          <w:rFonts w:cstheme="minorHAnsi"/>
          <w:sz w:val="24"/>
          <w:szCs w:val="24"/>
          <w:lang w:val="en-US" w:bidi="en-US"/>
        </w:rPr>
        <w:t xml:space="preserve"> The material footprint of nations. Proceedings of the National Academy of Sciences 112 (7): 6271-6276. </w:t>
      </w:r>
    </w:p>
    <w:p w14:paraId="7A177D7F" w14:textId="77777777" w:rsidR="00A40793" w:rsidRPr="0092458B" w:rsidRDefault="00A40793" w:rsidP="00A640DF">
      <w:pPr>
        <w:spacing w:after="0" w:line="240" w:lineRule="auto"/>
        <w:rPr>
          <w:rFonts w:cstheme="minorHAnsi"/>
          <w:sz w:val="24"/>
          <w:szCs w:val="24"/>
          <w:shd w:val="clear" w:color="auto" w:fill="FFFFFF"/>
          <w:lang w:val="en-US"/>
        </w:rPr>
      </w:pPr>
    </w:p>
    <w:p w14:paraId="3CD475F2" w14:textId="55034915" w:rsidR="00C70CDA" w:rsidRPr="0092458B" w:rsidRDefault="00C70CDA" w:rsidP="00A640DF">
      <w:pPr>
        <w:spacing w:after="0" w:line="240" w:lineRule="auto"/>
        <w:rPr>
          <w:rFonts w:cstheme="minorHAnsi"/>
          <w:sz w:val="24"/>
          <w:szCs w:val="24"/>
          <w:shd w:val="clear" w:color="auto" w:fill="FFFFFF"/>
          <w:lang w:val="en-US"/>
        </w:rPr>
      </w:pPr>
      <w:r w:rsidRPr="0092458B">
        <w:rPr>
          <w:rFonts w:cstheme="minorHAnsi"/>
          <w:sz w:val="24"/>
          <w:szCs w:val="24"/>
          <w:shd w:val="clear" w:color="auto" w:fill="FFFFFF"/>
          <w:lang w:val="en-US" w:bidi="en-US"/>
        </w:rPr>
        <w:t xml:space="preserve">Winkelmann R, Donges J, Smith K, </w:t>
      </w:r>
      <w:proofErr w:type="spellStart"/>
      <w:r w:rsidRPr="0092458B">
        <w:rPr>
          <w:rFonts w:cstheme="minorHAnsi"/>
          <w:sz w:val="24"/>
          <w:szCs w:val="24"/>
          <w:shd w:val="clear" w:color="auto" w:fill="FFFFFF"/>
          <w:lang w:val="en-US" w:bidi="en-US"/>
        </w:rPr>
        <w:t>Milkoreit</w:t>
      </w:r>
      <w:proofErr w:type="spellEnd"/>
      <w:r w:rsidRPr="0092458B">
        <w:rPr>
          <w:rFonts w:cstheme="minorHAnsi"/>
          <w:sz w:val="24"/>
          <w:szCs w:val="24"/>
          <w:shd w:val="clear" w:color="auto" w:fill="FFFFFF"/>
          <w:lang w:val="en-US" w:bidi="en-US"/>
        </w:rPr>
        <w:t xml:space="preserve"> M, Eder C, Heitzig J, </w:t>
      </w:r>
      <w:proofErr w:type="spellStart"/>
      <w:r w:rsidRPr="0092458B">
        <w:rPr>
          <w:rFonts w:cstheme="minorHAnsi"/>
          <w:sz w:val="24"/>
          <w:szCs w:val="24"/>
          <w:shd w:val="clear" w:color="auto" w:fill="FFFFFF"/>
          <w:lang w:val="en-US" w:bidi="en-US"/>
        </w:rPr>
        <w:t>Katsanidou</w:t>
      </w:r>
      <w:proofErr w:type="spellEnd"/>
      <w:r w:rsidRPr="0092458B">
        <w:rPr>
          <w:rFonts w:cstheme="minorHAnsi"/>
          <w:sz w:val="24"/>
          <w:szCs w:val="24"/>
          <w:shd w:val="clear" w:color="auto" w:fill="FFFFFF"/>
          <w:lang w:val="en-US" w:bidi="en-US"/>
        </w:rPr>
        <w:t xml:space="preserve"> A, </w:t>
      </w:r>
      <w:proofErr w:type="spellStart"/>
      <w:r w:rsidRPr="0092458B">
        <w:rPr>
          <w:rFonts w:cstheme="minorHAnsi"/>
          <w:sz w:val="24"/>
          <w:szCs w:val="24"/>
          <w:shd w:val="clear" w:color="auto" w:fill="FFFFFF"/>
          <w:lang w:val="en-US" w:bidi="en-US"/>
        </w:rPr>
        <w:t>Wiedermann</w:t>
      </w:r>
      <w:proofErr w:type="spellEnd"/>
      <w:r w:rsidRPr="0092458B">
        <w:rPr>
          <w:rFonts w:cstheme="minorHAnsi"/>
          <w:sz w:val="24"/>
          <w:szCs w:val="24"/>
          <w:shd w:val="clear" w:color="auto" w:fill="FFFFFF"/>
          <w:lang w:val="en-US" w:bidi="en-US"/>
        </w:rPr>
        <w:t xml:space="preserve"> M, </w:t>
      </w:r>
      <w:proofErr w:type="spellStart"/>
      <w:r w:rsidRPr="0092458B">
        <w:rPr>
          <w:rFonts w:cstheme="minorHAnsi"/>
          <w:sz w:val="24"/>
          <w:szCs w:val="24"/>
          <w:shd w:val="clear" w:color="auto" w:fill="FFFFFF"/>
          <w:lang w:val="en-US" w:bidi="en-US"/>
        </w:rPr>
        <w:t>Wunderling</w:t>
      </w:r>
      <w:proofErr w:type="spellEnd"/>
      <w:r w:rsidRPr="0092458B">
        <w:rPr>
          <w:rFonts w:cstheme="minorHAnsi"/>
          <w:sz w:val="24"/>
          <w:szCs w:val="24"/>
          <w:shd w:val="clear" w:color="auto" w:fill="FFFFFF"/>
          <w:lang w:val="en-US" w:bidi="en-US"/>
        </w:rPr>
        <w:t xml:space="preserve"> N, Lenton T (2022) Social tipping points processes towards climate action: A conceptual framework. Ecological Economics 192:   </w:t>
      </w:r>
    </w:p>
    <w:p w14:paraId="60F737E1" w14:textId="77777777" w:rsidR="00A40793" w:rsidRPr="0092458B" w:rsidRDefault="00A40793" w:rsidP="00A640DF">
      <w:pPr>
        <w:spacing w:after="0" w:line="240" w:lineRule="auto"/>
        <w:rPr>
          <w:rFonts w:cstheme="minorHAnsi"/>
          <w:sz w:val="24"/>
          <w:szCs w:val="24"/>
          <w:shd w:val="clear" w:color="auto" w:fill="FFFFFF"/>
          <w:lang w:val="en-US"/>
        </w:rPr>
      </w:pPr>
    </w:p>
    <w:p w14:paraId="58549444" w14:textId="0D03AC57" w:rsidR="00A30FC7" w:rsidRPr="0092458B" w:rsidRDefault="00A30FC7" w:rsidP="00A640DF">
      <w:pPr>
        <w:spacing w:after="0" w:line="240" w:lineRule="auto"/>
        <w:rPr>
          <w:rFonts w:cstheme="minorHAnsi"/>
          <w:sz w:val="24"/>
          <w:szCs w:val="24"/>
          <w:shd w:val="clear" w:color="auto" w:fill="FFFFFF"/>
          <w:lang w:val="en-US"/>
        </w:rPr>
      </w:pPr>
      <w:r w:rsidRPr="0092458B">
        <w:rPr>
          <w:rFonts w:cstheme="minorHAnsi"/>
          <w:sz w:val="24"/>
          <w:szCs w:val="24"/>
          <w:shd w:val="clear" w:color="auto" w:fill="FFFFFF"/>
          <w:lang w:val="en-US" w:bidi="en-US"/>
        </w:rPr>
        <w:t>Wright EO (2019) How to be an anti-capitalist in the 21</w:t>
      </w:r>
      <w:r w:rsidRPr="0092458B">
        <w:rPr>
          <w:rFonts w:cstheme="minorHAnsi"/>
          <w:sz w:val="24"/>
          <w:szCs w:val="24"/>
          <w:shd w:val="clear" w:color="auto" w:fill="FFFFFF"/>
          <w:vertAlign w:val="superscript"/>
          <w:lang w:val="en-US" w:bidi="en-US"/>
        </w:rPr>
        <w:t>st</w:t>
      </w:r>
      <w:r w:rsidR="00DB5E41" w:rsidRPr="0092458B">
        <w:rPr>
          <w:rFonts w:cstheme="minorHAnsi"/>
          <w:sz w:val="24"/>
          <w:szCs w:val="24"/>
          <w:shd w:val="clear" w:color="auto" w:fill="FFFFFF"/>
          <w:lang w:val="en-US" w:bidi="en-US"/>
        </w:rPr>
        <w:t xml:space="preserve"> century. Verso, London</w:t>
      </w:r>
    </w:p>
    <w:p w14:paraId="17BE914A" w14:textId="77777777" w:rsidR="00D336AA" w:rsidRPr="0092458B" w:rsidRDefault="00D336AA" w:rsidP="00A40793">
      <w:pPr>
        <w:spacing w:after="0" w:line="240" w:lineRule="auto"/>
        <w:rPr>
          <w:sz w:val="24"/>
          <w:szCs w:val="24"/>
          <w:lang w:val="en-US"/>
        </w:rPr>
      </w:pPr>
    </w:p>
    <w:p w14:paraId="2572248D" w14:textId="7F4BBDD5" w:rsidR="006161F0" w:rsidRPr="008E781B" w:rsidRDefault="006C6884" w:rsidP="00A40793">
      <w:pPr>
        <w:spacing w:after="0" w:line="240" w:lineRule="auto"/>
        <w:rPr>
          <w:rFonts w:ascii="AGaramondPro-Regular" w:eastAsia="AGaramondPro-Regular" w:cs="AGaramondPro-Regular"/>
          <w:vanish/>
          <w:sz w:val="20"/>
          <w:szCs w:val="20"/>
          <w:lang w:val="en-US"/>
        </w:rPr>
      </w:pPr>
      <w:r w:rsidRPr="0092458B">
        <w:rPr>
          <w:sz w:val="24"/>
          <w:szCs w:val="24"/>
          <w:lang w:val="en-US" w:bidi="en-US"/>
        </w:rPr>
        <w:t xml:space="preserve">Zimmermann K, Graziano P (2020) Mapping different worlds of eco-welfare states. Sustainability 12 (5): 1-20. </w:t>
      </w:r>
    </w:p>
    <w:sectPr w:rsidR="006161F0" w:rsidRPr="008E781B" w:rsidSect="009E5F5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76A4" w14:textId="77777777" w:rsidR="005A22D6" w:rsidRDefault="005A22D6" w:rsidP="00D8112B">
      <w:pPr>
        <w:spacing w:after="0" w:line="240" w:lineRule="auto"/>
      </w:pPr>
      <w:r>
        <w:separator/>
      </w:r>
    </w:p>
  </w:endnote>
  <w:endnote w:type="continuationSeparator" w:id="0">
    <w:p w14:paraId="599DE49C" w14:textId="77777777" w:rsidR="005A22D6" w:rsidRDefault="005A22D6" w:rsidP="00D8112B">
      <w:pPr>
        <w:spacing w:after="0" w:line="240" w:lineRule="auto"/>
      </w:pPr>
      <w:r>
        <w:continuationSeparator/>
      </w:r>
    </w:p>
  </w:endnote>
  <w:endnote w:type="continuationNotice" w:id="1">
    <w:p w14:paraId="62891E5A" w14:textId="77777777" w:rsidR="005A22D6" w:rsidRDefault="005A2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NHEIJ F+ Charis SIL">
    <w:altName w:val="Cambria"/>
    <w:panose1 w:val="00000000000000000000"/>
    <w:charset w:val="00"/>
    <w:family w:val="roman"/>
    <w:notTrueType/>
    <w:pitch w:val="default"/>
    <w:sig w:usb0="00000003" w:usb1="00000000" w:usb2="00000000" w:usb3="00000000" w:csb0="00000001"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GaramondPro-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55270"/>
      <w:docPartObj>
        <w:docPartGallery w:val="Page Numbers (Bottom of Page)"/>
        <w:docPartUnique/>
      </w:docPartObj>
    </w:sdtPr>
    <w:sdtEndPr/>
    <w:sdtContent>
      <w:p w14:paraId="76A3A999" w14:textId="28AF9DA7" w:rsidR="00D8112B" w:rsidRDefault="00D8112B">
        <w:pPr>
          <w:pStyle w:val="Sidefod"/>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sdtContent>
  </w:sdt>
  <w:p w14:paraId="2D6DB929" w14:textId="77777777" w:rsidR="00D8112B" w:rsidRDefault="00D811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7674" w14:textId="77777777" w:rsidR="005A22D6" w:rsidRDefault="005A22D6" w:rsidP="00D8112B">
      <w:pPr>
        <w:spacing w:after="0" w:line="240" w:lineRule="auto"/>
      </w:pPr>
      <w:r>
        <w:separator/>
      </w:r>
    </w:p>
  </w:footnote>
  <w:footnote w:type="continuationSeparator" w:id="0">
    <w:p w14:paraId="38A3F0A9" w14:textId="77777777" w:rsidR="005A22D6" w:rsidRDefault="005A22D6" w:rsidP="00D8112B">
      <w:pPr>
        <w:spacing w:after="0" w:line="240" w:lineRule="auto"/>
      </w:pPr>
      <w:r>
        <w:continuationSeparator/>
      </w:r>
    </w:p>
  </w:footnote>
  <w:footnote w:type="continuationNotice" w:id="1">
    <w:p w14:paraId="315ED16E" w14:textId="77777777" w:rsidR="005A22D6" w:rsidRDefault="005A2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10BF" w14:textId="77777777" w:rsidR="00283B3D" w:rsidRDefault="00283B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4F3"/>
    <w:multiLevelType w:val="multilevel"/>
    <w:tmpl w:val="356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F2894"/>
    <w:multiLevelType w:val="multilevel"/>
    <w:tmpl w:val="BDB4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714448">
    <w:abstractNumId w:val="0"/>
  </w:num>
  <w:num w:numId="2" w16cid:durableId="675423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A8"/>
    <w:rsid w:val="000011EB"/>
    <w:rsid w:val="00003450"/>
    <w:rsid w:val="000034E0"/>
    <w:rsid w:val="00004257"/>
    <w:rsid w:val="000042FC"/>
    <w:rsid w:val="00006D6A"/>
    <w:rsid w:val="0000748C"/>
    <w:rsid w:val="000109D7"/>
    <w:rsid w:val="0001125A"/>
    <w:rsid w:val="000115EA"/>
    <w:rsid w:val="00011877"/>
    <w:rsid w:val="000118BE"/>
    <w:rsid w:val="00011979"/>
    <w:rsid w:val="00011A19"/>
    <w:rsid w:val="0001248E"/>
    <w:rsid w:val="00012528"/>
    <w:rsid w:val="00012B39"/>
    <w:rsid w:val="0001366F"/>
    <w:rsid w:val="00013941"/>
    <w:rsid w:val="00014815"/>
    <w:rsid w:val="00015156"/>
    <w:rsid w:val="00015652"/>
    <w:rsid w:val="00015886"/>
    <w:rsid w:val="000167A2"/>
    <w:rsid w:val="00016AED"/>
    <w:rsid w:val="00017408"/>
    <w:rsid w:val="00017F5B"/>
    <w:rsid w:val="00020455"/>
    <w:rsid w:val="00021548"/>
    <w:rsid w:val="00021E8B"/>
    <w:rsid w:val="00022080"/>
    <w:rsid w:val="000221F8"/>
    <w:rsid w:val="00022C5C"/>
    <w:rsid w:val="00022D8F"/>
    <w:rsid w:val="000244C3"/>
    <w:rsid w:val="00024DA3"/>
    <w:rsid w:val="00025431"/>
    <w:rsid w:val="00025753"/>
    <w:rsid w:val="000258E2"/>
    <w:rsid w:val="00026CB7"/>
    <w:rsid w:val="00026EF7"/>
    <w:rsid w:val="000304C5"/>
    <w:rsid w:val="00030B7A"/>
    <w:rsid w:val="00030BE4"/>
    <w:rsid w:val="00030FE9"/>
    <w:rsid w:val="000313D4"/>
    <w:rsid w:val="00031641"/>
    <w:rsid w:val="000320C0"/>
    <w:rsid w:val="0003300F"/>
    <w:rsid w:val="00033CED"/>
    <w:rsid w:val="0003437E"/>
    <w:rsid w:val="00035023"/>
    <w:rsid w:val="0003589B"/>
    <w:rsid w:val="0003702F"/>
    <w:rsid w:val="00037250"/>
    <w:rsid w:val="000376BF"/>
    <w:rsid w:val="00037BDB"/>
    <w:rsid w:val="000408A6"/>
    <w:rsid w:val="0004110B"/>
    <w:rsid w:val="00041F0C"/>
    <w:rsid w:val="0004278A"/>
    <w:rsid w:val="00043472"/>
    <w:rsid w:val="000441DF"/>
    <w:rsid w:val="00044643"/>
    <w:rsid w:val="00044785"/>
    <w:rsid w:val="0004583B"/>
    <w:rsid w:val="00045CC9"/>
    <w:rsid w:val="00046E4E"/>
    <w:rsid w:val="00047C06"/>
    <w:rsid w:val="00047C44"/>
    <w:rsid w:val="0005033D"/>
    <w:rsid w:val="00050F83"/>
    <w:rsid w:val="00051112"/>
    <w:rsid w:val="000513F9"/>
    <w:rsid w:val="00051B6D"/>
    <w:rsid w:val="000524F9"/>
    <w:rsid w:val="00052925"/>
    <w:rsid w:val="0005292D"/>
    <w:rsid w:val="000534A4"/>
    <w:rsid w:val="00053559"/>
    <w:rsid w:val="00053C53"/>
    <w:rsid w:val="00053F94"/>
    <w:rsid w:val="00054631"/>
    <w:rsid w:val="00055189"/>
    <w:rsid w:val="00055CDA"/>
    <w:rsid w:val="00055F1F"/>
    <w:rsid w:val="00056D93"/>
    <w:rsid w:val="00056EF4"/>
    <w:rsid w:val="00060A8D"/>
    <w:rsid w:val="00060F8C"/>
    <w:rsid w:val="00061269"/>
    <w:rsid w:val="00061F07"/>
    <w:rsid w:val="000636AC"/>
    <w:rsid w:val="00063A70"/>
    <w:rsid w:val="00063B08"/>
    <w:rsid w:val="00063ED8"/>
    <w:rsid w:val="00064856"/>
    <w:rsid w:val="00065003"/>
    <w:rsid w:val="00065180"/>
    <w:rsid w:val="00065648"/>
    <w:rsid w:val="000659A5"/>
    <w:rsid w:val="00066226"/>
    <w:rsid w:val="00066688"/>
    <w:rsid w:val="00066D54"/>
    <w:rsid w:val="00066E6E"/>
    <w:rsid w:val="000711D7"/>
    <w:rsid w:val="000717F8"/>
    <w:rsid w:val="0007269F"/>
    <w:rsid w:val="000739D0"/>
    <w:rsid w:val="0007410D"/>
    <w:rsid w:val="000743E6"/>
    <w:rsid w:val="00074887"/>
    <w:rsid w:val="00074D4D"/>
    <w:rsid w:val="00075045"/>
    <w:rsid w:val="00075907"/>
    <w:rsid w:val="00075DB1"/>
    <w:rsid w:val="00075E13"/>
    <w:rsid w:val="000765E5"/>
    <w:rsid w:val="00076AC0"/>
    <w:rsid w:val="00076D59"/>
    <w:rsid w:val="00077BF4"/>
    <w:rsid w:val="000803DD"/>
    <w:rsid w:val="0008082B"/>
    <w:rsid w:val="00080D29"/>
    <w:rsid w:val="00081B59"/>
    <w:rsid w:val="00081BCB"/>
    <w:rsid w:val="00081C80"/>
    <w:rsid w:val="000821EA"/>
    <w:rsid w:val="0008285E"/>
    <w:rsid w:val="00083690"/>
    <w:rsid w:val="000836B9"/>
    <w:rsid w:val="00083B39"/>
    <w:rsid w:val="00083B8A"/>
    <w:rsid w:val="00084C2B"/>
    <w:rsid w:val="00085541"/>
    <w:rsid w:val="00085BBA"/>
    <w:rsid w:val="000873F2"/>
    <w:rsid w:val="000913E8"/>
    <w:rsid w:val="00091600"/>
    <w:rsid w:val="0009344D"/>
    <w:rsid w:val="00093FBA"/>
    <w:rsid w:val="0009411F"/>
    <w:rsid w:val="00094632"/>
    <w:rsid w:val="000948AA"/>
    <w:rsid w:val="00095129"/>
    <w:rsid w:val="00095AD8"/>
    <w:rsid w:val="000965DC"/>
    <w:rsid w:val="00096B7E"/>
    <w:rsid w:val="00097678"/>
    <w:rsid w:val="00097864"/>
    <w:rsid w:val="00097D26"/>
    <w:rsid w:val="000A02DA"/>
    <w:rsid w:val="000A274F"/>
    <w:rsid w:val="000A282D"/>
    <w:rsid w:val="000A2861"/>
    <w:rsid w:val="000A2A56"/>
    <w:rsid w:val="000A3383"/>
    <w:rsid w:val="000A340F"/>
    <w:rsid w:val="000A35AE"/>
    <w:rsid w:val="000A3AFA"/>
    <w:rsid w:val="000A516E"/>
    <w:rsid w:val="000A5878"/>
    <w:rsid w:val="000A58D7"/>
    <w:rsid w:val="000A5949"/>
    <w:rsid w:val="000A5D19"/>
    <w:rsid w:val="000A5F07"/>
    <w:rsid w:val="000A60B5"/>
    <w:rsid w:val="000A69EB"/>
    <w:rsid w:val="000A77B6"/>
    <w:rsid w:val="000A7B75"/>
    <w:rsid w:val="000B00BE"/>
    <w:rsid w:val="000B048C"/>
    <w:rsid w:val="000B1376"/>
    <w:rsid w:val="000B13B7"/>
    <w:rsid w:val="000B17DA"/>
    <w:rsid w:val="000B182B"/>
    <w:rsid w:val="000B1FC9"/>
    <w:rsid w:val="000B2AE1"/>
    <w:rsid w:val="000B2C0C"/>
    <w:rsid w:val="000B32B7"/>
    <w:rsid w:val="000B3B46"/>
    <w:rsid w:val="000B3DD1"/>
    <w:rsid w:val="000B41E1"/>
    <w:rsid w:val="000B458A"/>
    <w:rsid w:val="000B4E24"/>
    <w:rsid w:val="000B4FAE"/>
    <w:rsid w:val="000B5881"/>
    <w:rsid w:val="000B67CB"/>
    <w:rsid w:val="000B69A2"/>
    <w:rsid w:val="000B6B85"/>
    <w:rsid w:val="000C0358"/>
    <w:rsid w:val="000C0C66"/>
    <w:rsid w:val="000C1B93"/>
    <w:rsid w:val="000C1CFC"/>
    <w:rsid w:val="000C2C7A"/>
    <w:rsid w:val="000C3115"/>
    <w:rsid w:val="000C3C5D"/>
    <w:rsid w:val="000C3E37"/>
    <w:rsid w:val="000C4216"/>
    <w:rsid w:val="000C4B9D"/>
    <w:rsid w:val="000C4FB9"/>
    <w:rsid w:val="000C53FB"/>
    <w:rsid w:val="000C603A"/>
    <w:rsid w:val="000C6797"/>
    <w:rsid w:val="000C68C6"/>
    <w:rsid w:val="000C71B9"/>
    <w:rsid w:val="000C7379"/>
    <w:rsid w:val="000C74C8"/>
    <w:rsid w:val="000C7D20"/>
    <w:rsid w:val="000D0877"/>
    <w:rsid w:val="000D08E7"/>
    <w:rsid w:val="000D09D1"/>
    <w:rsid w:val="000D09DD"/>
    <w:rsid w:val="000D1EC4"/>
    <w:rsid w:val="000D2AFA"/>
    <w:rsid w:val="000D3FD8"/>
    <w:rsid w:val="000D4576"/>
    <w:rsid w:val="000D4CC0"/>
    <w:rsid w:val="000D5C2A"/>
    <w:rsid w:val="000D616A"/>
    <w:rsid w:val="000D65DB"/>
    <w:rsid w:val="000D744D"/>
    <w:rsid w:val="000E01AD"/>
    <w:rsid w:val="000E07B7"/>
    <w:rsid w:val="000E09B6"/>
    <w:rsid w:val="000E2194"/>
    <w:rsid w:val="000E3634"/>
    <w:rsid w:val="000E3652"/>
    <w:rsid w:val="000E3FC8"/>
    <w:rsid w:val="000E46B9"/>
    <w:rsid w:val="000E5381"/>
    <w:rsid w:val="000E55DC"/>
    <w:rsid w:val="000E57D3"/>
    <w:rsid w:val="000E6275"/>
    <w:rsid w:val="000E68CF"/>
    <w:rsid w:val="000E6A1F"/>
    <w:rsid w:val="000E6D46"/>
    <w:rsid w:val="000E73BC"/>
    <w:rsid w:val="000E78ED"/>
    <w:rsid w:val="000E7F2B"/>
    <w:rsid w:val="000F007C"/>
    <w:rsid w:val="000F0312"/>
    <w:rsid w:val="000F11FA"/>
    <w:rsid w:val="000F281F"/>
    <w:rsid w:val="000F2F7E"/>
    <w:rsid w:val="000F3AD0"/>
    <w:rsid w:val="000F4497"/>
    <w:rsid w:val="000F46EA"/>
    <w:rsid w:val="000F489B"/>
    <w:rsid w:val="000F50B4"/>
    <w:rsid w:val="000F545C"/>
    <w:rsid w:val="000F57C0"/>
    <w:rsid w:val="000F5E46"/>
    <w:rsid w:val="000F6517"/>
    <w:rsid w:val="000F6647"/>
    <w:rsid w:val="000F67C9"/>
    <w:rsid w:val="000F6AE0"/>
    <w:rsid w:val="000F6ED5"/>
    <w:rsid w:val="000F729F"/>
    <w:rsid w:val="000F72E4"/>
    <w:rsid w:val="000F7C69"/>
    <w:rsid w:val="0010021B"/>
    <w:rsid w:val="0010036C"/>
    <w:rsid w:val="00100379"/>
    <w:rsid w:val="00100B86"/>
    <w:rsid w:val="00100C57"/>
    <w:rsid w:val="0010112A"/>
    <w:rsid w:val="00101133"/>
    <w:rsid w:val="00102089"/>
    <w:rsid w:val="00102AE4"/>
    <w:rsid w:val="001033BE"/>
    <w:rsid w:val="00103CFD"/>
    <w:rsid w:val="0010439C"/>
    <w:rsid w:val="0010667B"/>
    <w:rsid w:val="001074DE"/>
    <w:rsid w:val="001077E6"/>
    <w:rsid w:val="00107867"/>
    <w:rsid w:val="00107C95"/>
    <w:rsid w:val="00110451"/>
    <w:rsid w:val="00111058"/>
    <w:rsid w:val="0011110A"/>
    <w:rsid w:val="00111137"/>
    <w:rsid w:val="001116A9"/>
    <w:rsid w:val="001132FC"/>
    <w:rsid w:val="00113AE9"/>
    <w:rsid w:val="001141C6"/>
    <w:rsid w:val="00114A48"/>
    <w:rsid w:val="00114DD4"/>
    <w:rsid w:val="001154D3"/>
    <w:rsid w:val="001155A7"/>
    <w:rsid w:val="00116BB0"/>
    <w:rsid w:val="00116BC4"/>
    <w:rsid w:val="00117297"/>
    <w:rsid w:val="00117404"/>
    <w:rsid w:val="00117918"/>
    <w:rsid w:val="00117E05"/>
    <w:rsid w:val="0012046C"/>
    <w:rsid w:val="00120644"/>
    <w:rsid w:val="0012078C"/>
    <w:rsid w:val="00122258"/>
    <w:rsid w:val="001222B1"/>
    <w:rsid w:val="001226B8"/>
    <w:rsid w:val="00122DDE"/>
    <w:rsid w:val="00123A25"/>
    <w:rsid w:val="0012435E"/>
    <w:rsid w:val="001251A1"/>
    <w:rsid w:val="001254F6"/>
    <w:rsid w:val="001269AB"/>
    <w:rsid w:val="001271D7"/>
    <w:rsid w:val="0012739E"/>
    <w:rsid w:val="00127438"/>
    <w:rsid w:val="00127595"/>
    <w:rsid w:val="001275EE"/>
    <w:rsid w:val="001300EC"/>
    <w:rsid w:val="00130438"/>
    <w:rsid w:val="00130607"/>
    <w:rsid w:val="0013065A"/>
    <w:rsid w:val="00131606"/>
    <w:rsid w:val="001317FF"/>
    <w:rsid w:val="00131C80"/>
    <w:rsid w:val="00131F1E"/>
    <w:rsid w:val="00132624"/>
    <w:rsid w:val="00132827"/>
    <w:rsid w:val="001345CD"/>
    <w:rsid w:val="00134EC4"/>
    <w:rsid w:val="0013530E"/>
    <w:rsid w:val="00135364"/>
    <w:rsid w:val="0013575B"/>
    <w:rsid w:val="00136018"/>
    <w:rsid w:val="001362AA"/>
    <w:rsid w:val="0013642F"/>
    <w:rsid w:val="001367BF"/>
    <w:rsid w:val="001367E6"/>
    <w:rsid w:val="00136D02"/>
    <w:rsid w:val="001372DB"/>
    <w:rsid w:val="00137432"/>
    <w:rsid w:val="001375FA"/>
    <w:rsid w:val="0013769C"/>
    <w:rsid w:val="00137BA6"/>
    <w:rsid w:val="00137FBA"/>
    <w:rsid w:val="00140F17"/>
    <w:rsid w:val="001415C6"/>
    <w:rsid w:val="0014161D"/>
    <w:rsid w:val="00141A89"/>
    <w:rsid w:val="00141FF0"/>
    <w:rsid w:val="001424EB"/>
    <w:rsid w:val="00142FED"/>
    <w:rsid w:val="001432A6"/>
    <w:rsid w:val="00144AC9"/>
    <w:rsid w:val="00144B6B"/>
    <w:rsid w:val="00144D18"/>
    <w:rsid w:val="00145597"/>
    <w:rsid w:val="00146424"/>
    <w:rsid w:val="00146AA2"/>
    <w:rsid w:val="001472E3"/>
    <w:rsid w:val="001475D9"/>
    <w:rsid w:val="0015134D"/>
    <w:rsid w:val="00152616"/>
    <w:rsid w:val="0015287E"/>
    <w:rsid w:val="0015298E"/>
    <w:rsid w:val="001531F7"/>
    <w:rsid w:val="0015406B"/>
    <w:rsid w:val="0015440C"/>
    <w:rsid w:val="00155CB8"/>
    <w:rsid w:val="00155FDC"/>
    <w:rsid w:val="00156FE1"/>
    <w:rsid w:val="00157DF6"/>
    <w:rsid w:val="001604CE"/>
    <w:rsid w:val="00160FB4"/>
    <w:rsid w:val="001616CE"/>
    <w:rsid w:val="001619E9"/>
    <w:rsid w:val="0016247B"/>
    <w:rsid w:val="0016267C"/>
    <w:rsid w:val="00162E00"/>
    <w:rsid w:val="00163854"/>
    <w:rsid w:val="00163D62"/>
    <w:rsid w:val="00164463"/>
    <w:rsid w:val="001650E0"/>
    <w:rsid w:val="00165935"/>
    <w:rsid w:val="00165FDF"/>
    <w:rsid w:val="00166ADF"/>
    <w:rsid w:val="00167B88"/>
    <w:rsid w:val="00170827"/>
    <w:rsid w:val="00170BE6"/>
    <w:rsid w:val="00171985"/>
    <w:rsid w:val="00171A43"/>
    <w:rsid w:val="001723E3"/>
    <w:rsid w:val="0017281A"/>
    <w:rsid w:val="00172C09"/>
    <w:rsid w:val="0017358D"/>
    <w:rsid w:val="0017363F"/>
    <w:rsid w:val="00173B4D"/>
    <w:rsid w:val="001745EB"/>
    <w:rsid w:val="00174A81"/>
    <w:rsid w:val="00175315"/>
    <w:rsid w:val="0017606C"/>
    <w:rsid w:val="001760C9"/>
    <w:rsid w:val="001763A5"/>
    <w:rsid w:val="00176416"/>
    <w:rsid w:val="001768A5"/>
    <w:rsid w:val="00176CED"/>
    <w:rsid w:val="00176FA9"/>
    <w:rsid w:val="001777C8"/>
    <w:rsid w:val="00180AAC"/>
    <w:rsid w:val="00180E35"/>
    <w:rsid w:val="00182905"/>
    <w:rsid w:val="00182F6A"/>
    <w:rsid w:val="00183EF3"/>
    <w:rsid w:val="00184FD6"/>
    <w:rsid w:val="00185D03"/>
    <w:rsid w:val="00186664"/>
    <w:rsid w:val="001866C4"/>
    <w:rsid w:val="00187194"/>
    <w:rsid w:val="001900F7"/>
    <w:rsid w:val="001901BA"/>
    <w:rsid w:val="001907AD"/>
    <w:rsid w:val="001914D9"/>
    <w:rsid w:val="00191AFB"/>
    <w:rsid w:val="00191B7E"/>
    <w:rsid w:val="00192031"/>
    <w:rsid w:val="00193CF7"/>
    <w:rsid w:val="00193FF5"/>
    <w:rsid w:val="00194172"/>
    <w:rsid w:val="00194A5F"/>
    <w:rsid w:val="0019588B"/>
    <w:rsid w:val="00195B27"/>
    <w:rsid w:val="00195D3E"/>
    <w:rsid w:val="00195FF0"/>
    <w:rsid w:val="00195FFD"/>
    <w:rsid w:val="001963AC"/>
    <w:rsid w:val="001969BF"/>
    <w:rsid w:val="00197136"/>
    <w:rsid w:val="00197D00"/>
    <w:rsid w:val="00197F0D"/>
    <w:rsid w:val="001A0671"/>
    <w:rsid w:val="001A0720"/>
    <w:rsid w:val="001A0995"/>
    <w:rsid w:val="001A1708"/>
    <w:rsid w:val="001A274A"/>
    <w:rsid w:val="001A34E2"/>
    <w:rsid w:val="001A38EC"/>
    <w:rsid w:val="001A3A4B"/>
    <w:rsid w:val="001A3A62"/>
    <w:rsid w:val="001A44F7"/>
    <w:rsid w:val="001A4CE8"/>
    <w:rsid w:val="001A524D"/>
    <w:rsid w:val="001A6620"/>
    <w:rsid w:val="001A7769"/>
    <w:rsid w:val="001A7D33"/>
    <w:rsid w:val="001A7EFA"/>
    <w:rsid w:val="001B0776"/>
    <w:rsid w:val="001B1043"/>
    <w:rsid w:val="001B1232"/>
    <w:rsid w:val="001B128C"/>
    <w:rsid w:val="001B1923"/>
    <w:rsid w:val="001B1FE3"/>
    <w:rsid w:val="001B2665"/>
    <w:rsid w:val="001B336E"/>
    <w:rsid w:val="001B377D"/>
    <w:rsid w:val="001B4073"/>
    <w:rsid w:val="001B602F"/>
    <w:rsid w:val="001B6462"/>
    <w:rsid w:val="001B6F92"/>
    <w:rsid w:val="001B704E"/>
    <w:rsid w:val="001B7291"/>
    <w:rsid w:val="001B792B"/>
    <w:rsid w:val="001B7BAA"/>
    <w:rsid w:val="001B7D04"/>
    <w:rsid w:val="001C002D"/>
    <w:rsid w:val="001C08EB"/>
    <w:rsid w:val="001C2B45"/>
    <w:rsid w:val="001C2CED"/>
    <w:rsid w:val="001C3858"/>
    <w:rsid w:val="001C481A"/>
    <w:rsid w:val="001C6661"/>
    <w:rsid w:val="001C699B"/>
    <w:rsid w:val="001C7073"/>
    <w:rsid w:val="001C776F"/>
    <w:rsid w:val="001C7B14"/>
    <w:rsid w:val="001D12BA"/>
    <w:rsid w:val="001D284F"/>
    <w:rsid w:val="001D304C"/>
    <w:rsid w:val="001D4350"/>
    <w:rsid w:val="001D4841"/>
    <w:rsid w:val="001D50EE"/>
    <w:rsid w:val="001D5B63"/>
    <w:rsid w:val="001D6F80"/>
    <w:rsid w:val="001E04B5"/>
    <w:rsid w:val="001E06FD"/>
    <w:rsid w:val="001E0796"/>
    <w:rsid w:val="001E14EC"/>
    <w:rsid w:val="001E171A"/>
    <w:rsid w:val="001E3E1B"/>
    <w:rsid w:val="001E46FC"/>
    <w:rsid w:val="001E4E38"/>
    <w:rsid w:val="001E5C68"/>
    <w:rsid w:val="001E6710"/>
    <w:rsid w:val="001E6A95"/>
    <w:rsid w:val="001E713F"/>
    <w:rsid w:val="001F0311"/>
    <w:rsid w:val="001F253F"/>
    <w:rsid w:val="001F28F1"/>
    <w:rsid w:val="001F2D4E"/>
    <w:rsid w:val="001F36CB"/>
    <w:rsid w:val="001F4276"/>
    <w:rsid w:val="001F436D"/>
    <w:rsid w:val="001F4A0E"/>
    <w:rsid w:val="001F510F"/>
    <w:rsid w:val="001F5110"/>
    <w:rsid w:val="001F5277"/>
    <w:rsid w:val="001F60B0"/>
    <w:rsid w:val="001F6721"/>
    <w:rsid w:val="001F7477"/>
    <w:rsid w:val="001F7944"/>
    <w:rsid w:val="002000F2"/>
    <w:rsid w:val="00200253"/>
    <w:rsid w:val="002023B5"/>
    <w:rsid w:val="002024F8"/>
    <w:rsid w:val="00202E2D"/>
    <w:rsid w:val="00202FBB"/>
    <w:rsid w:val="00203295"/>
    <w:rsid w:val="00203822"/>
    <w:rsid w:val="0020446F"/>
    <w:rsid w:val="00205496"/>
    <w:rsid w:val="00205BD8"/>
    <w:rsid w:val="002069BE"/>
    <w:rsid w:val="00207470"/>
    <w:rsid w:val="0020765C"/>
    <w:rsid w:val="002077D6"/>
    <w:rsid w:val="002116E3"/>
    <w:rsid w:val="0021179F"/>
    <w:rsid w:val="00211AA1"/>
    <w:rsid w:val="002128DD"/>
    <w:rsid w:val="00212903"/>
    <w:rsid w:val="00212E93"/>
    <w:rsid w:val="00213026"/>
    <w:rsid w:val="00213EAF"/>
    <w:rsid w:val="00214B0A"/>
    <w:rsid w:val="00214CE4"/>
    <w:rsid w:val="00215655"/>
    <w:rsid w:val="0021599B"/>
    <w:rsid w:val="002159A0"/>
    <w:rsid w:val="0021675E"/>
    <w:rsid w:val="00216A19"/>
    <w:rsid w:val="00217D49"/>
    <w:rsid w:val="00221B35"/>
    <w:rsid w:val="00221CE8"/>
    <w:rsid w:val="00221D76"/>
    <w:rsid w:val="002222D8"/>
    <w:rsid w:val="00222A07"/>
    <w:rsid w:val="0022379E"/>
    <w:rsid w:val="00223896"/>
    <w:rsid w:val="00224A57"/>
    <w:rsid w:val="00224CB0"/>
    <w:rsid w:val="00225750"/>
    <w:rsid w:val="00225CB9"/>
    <w:rsid w:val="002264F0"/>
    <w:rsid w:val="00226987"/>
    <w:rsid w:val="00226EF6"/>
    <w:rsid w:val="00226FEA"/>
    <w:rsid w:val="00227C31"/>
    <w:rsid w:val="00230650"/>
    <w:rsid w:val="00230F90"/>
    <w:rsid w:val="00232353"/>
    <w:rsid w:val="002327FD"/>
    <w:rsid w:val="00233861"/>
    <w:rsid w:val="00234710"/>
    <w:rsid w:val="00234FA0"/>
    <w:rsid w:val="00235196"/>
    <w:rsid w:val="00235229"/>
    <w:rsid w:val="00235289"/>
    <w:rsid w:val="00235F34"/>
    <w:rsid w:val="002360ED"/>
    <w:rsid w:val="0023628F"/>
    <w:rsid w:val="00236EE5"/>
    <w:rsid w:val="00237A9B"/>
    <w:rsid w:val="00240B43"/>
    <w:rsid w:val="002415AD"/>
    <w:rsid w:val="002415BE"/>
    <w:rsid w:val="00243D38"/>
    <w:rsid w:val="00244132"/>
    <w:rsid w:val="0024459B"/>
    <w:rsid w:val="00244AAC"/>
    <w:rsid w:val="0024597B"/>
    <w:rsid w:val="00247082"/>
    <w:rsid w:val="00247D74"/>
    <w:rsid w:val="0025038B"/>
    <w:rsid w:val="00250AD3"/>
    <w:rsid w:val="00250C67"/>
    <w:rsid w:val="00251415"/>
    <w:rsid w:val="00251695"/>
    <w:rsid w:val="00251BF4"/>
    <w:rsid w:val="00251D99"/>
    <w:rsid w:val="0025246D"/>
    <w:rsid w:val="00252BF6"/>
    <w:rsid w:val="00252F4A"/>
    <w:rsid w:val="002532E9"/>
    <w:rsid w:val="00253F54"/>
    <w:rsid w:val="0025437C"/>
    <w:rsid w:val="00254693"/>
    <w:rsid w:val="00255AB7"/>
    <w:rsid w:val="00255BE5"/>
    <w:rsid w:val="002571A9"/>
    <w:rsid w:val="00257442"/>
    <w:rsid w:val="002579C3"/>
    <w:rsid w:val="00257B30"/>
    <w:rsid w:val="00257C89"/>
    <w:rsid w:val="00260130"/>
    <w:rsid w:val="002607C4"/>
    <w:rsid w:val="00260B40"/>
    <w:rsid w:val="00260EA8"/>
    <w:rsid w:val="00261943"/>
    <w:rsid w:val="00261973"/>
    <w:rsid w:val="00261D62"/>
    <w:rsid w:val="00261DC6"/>
    <w:rsid w:val="00261DCC"/>
    <w:rsid w:val="00262526"/>
    <w:rsid w:val="00262C53"/>
    <w:rsid w:val="00262E11"/>
    <w:rsid w:val="00263A8A"/>
    <w:rsid w:val="00263E27"/>
    <w:rsid w:val="00264193"/>
    <w:rsid w:val="002645FD"/>
    <w:rsid w:val="00265488"/>
    <w:rsid w:val="00265A61"/>
    <w:rsid w:val="00265CF3"/>
    <w:rsid w:val="002662DC"/>
    <w:rsid w:val="00266B9E"/>
    <w:rsid w:val="00266BE6"/>
    <w:rsid w:val="00266C71"/>
    <w:rsid w:val="0026775E"/>
    <w:rsid w:val="002677D6"/>
    <w:rsid w:val="00267831"/>
    <w:rsid w:val="002679F5"/>
    <w:rsid w:val="00267AE0"/>
    <w:rsid w:val="00270A9B"/>
    <w:rsid w:val="00270E45"/>
    <w:rsid w:val="002726AF"/>
    <w:rsid w:val="00272A14"/>
    <w:rsid w:val="00273EDA"/>
    <w:rsid w:val="00275235"/>
    <w:rsid w:val="002755BF"/>
    <w:rsid w:val="0027735C"/>
    <w:rsid w:val="0028037C"/>
    <w:rsid w:val="00280734"/>
    <w:rsid w:val="002829F7"/>
    <w:rsid w:val="00282C13"/>
    <w:rsid w:val="002835F8"/>
    <w:rsid w:val="00283B3D"/>
    <w:rsid w:val="00283B59"/>
    <w:rsid w:val="002852B6"/>
    <w:rsid w:val="0028543A"/>
    <w:rsid w:val="002854CE"/>
    <w:rsid w:val="0028567B"/>
    <w:rsid w:val="00285F17"/>
    <w:rsid w:val="00285FDF"/>
    <w:rsid w:val="002865B6"/>
    <w:rsid w:val="00286BD8"/>
    <w:rsid w:val="00286FB1"/>
    <w:rsid w:val="002871C0"/>
    <w:rsid w:val="00287806"/>
    <w:rsid w:val="00290090"/>
    <w:rsid w:val="00290378"/>
    <w:rsid w:val="002909FB"/>
    <w:rsid w:val="00293C82"/>
    <w:rsid w:val="00295E9D"/>
    <w:rsid w:val="00295F60"/>
    <w:rsid w:val="002964C9"/>
    <w:rsid w:val="0029772A"/>
    <w:rsid w:val="002978A9"/>
    <w:rsid w:val="002978B3"/>
    <w:rsid w:val="002A02FA"/>
    <w:rsid w:val="002A039F"/>
    <w:rsid w:val="002A08DD"/>
    <w:rsid w:val="002A0B89"/>
    <w:rsid w:val="002A18C3"/>
    <w:rsid w:val="002A19E9"/>
    <w:rsid w:val="002A3C35"/>
    <w:rsid w:val="002A44E9"/>
    <w:rsid w:val="002A488D"/>
    <w:rsid w:val="002A4E19"/>
    <w:rsid w:val="002A51DF"/>
    <w:rsid w:val="002A6542"/>
    <w:rsid w:val="002A6938"/>
    <w:rsid w:val="002A6FF4"/>
    <w:rsid w:val="002A7370"/>
    <w:rsid w:val="002A74DA"/>
    <w:rsid w:val="002B07A0"/>
    <w:rsid w:val="002B126A"/>
    <w:rsid w:val="002B1DF0"/>
    <w:rsid w:val="002B2A2E"/>
    <w:rsid w:val="002B2CEB"/>
    <w:rsid w:val="002B374D"/>
    <w:rsid w:val="002B3E9A"/>
    <w:rsid w:val="002B4215"/>
    <w:rsid w:val="002B4D76"/>
    <w:rsid w:val="002B4FB3"/>
    <w:rsid w:val="002B695C"/>
    <w:rsid w:val="002B6A12"/>
    <w:rsid w:val="002B7B0E"/>
    <w:rsid w:val="002B7DFA"/>
    <w:rsid w:val="002C08D0"/>
    <w:rsid w:val="002C0DF9"/>
    <w:rsid w:val="002C1112"/>
    <w:rsid w:val="002C1ADE"/>
    <w:rsid w:val="002C217A"/>
    <w:rsid w:val="002C247E"/>
    <w:rsid w:val="002C2F5E"/>
    <w:rsid w:val="002C3C4D"/>
    <w:rsid w:val="002C3D2B"/>
    <w:rsid w:val="002C41E6"/>
    <w:rsid w:val="002C46A0"/>
    <w:rsid w:val="002C475F"/>
    <w:rsid w:val="002C4AF6"/>
    <w:rsid w:val="002C4BD1"/>
    <w:rsid w:val="002C508A"/>
    <w:rsid w:val="002C5E4B"/>
    <w:rsid w:val="002C60CE"/>
    <w:rsid w:val="002C65A8"/>
    <w:rsid w:val="002C7675"/>
    <w:rsid w:val="002C7DAB"/>
    <w:rsid w:val="002D0157"/>
    <w:rsid w:val="002D2523"/>
    <w:rsid w:val="002D387A"/>
    <w:rsid w:val="002D3886"/>
    <w:rsid w:val="002D3A87"/>
    <w:rsid w:val="002D4648"/>
    <w:rsid w:val="002D4931"/>
    <w:rsid w:val="002D4EDA"/>
    <w:rsid w:val="002D55D2"/>
    <w:rsid w:val="002D5958"/>
    <w:rsid w:val="002D6959"/>
    <w:rsid w:val="002D7089"/>
    <w:rsid w:val="002D713B"/>
    <w:rsid w:val="002D7B5F"/>
    <w:rsid w:val="002D7C7F"/>
    <w:rsid w:val="002E0303"/>
    <w:rsid w:val="002E05BF"/>
    <w:rsid w:val="002E094E"/>
    <w:rsid w:val="002E0D63"/>
    <w:rsid w:val="002E0D84"/>
    <w:rsid w:val="002E132C"/>
    <w:rsid w:val="002E16FF"/>
    <w:rsid w:val="002E1AC1"/>
    <w:rsid w:val="002E1BC9"/>
    <w:rsid w:val="002E245D"/>
    <w:rsid w:val="002E31A6"/>
    <w:rsid w:val="002E386E"/>
    <w:rsid w:val="002E473C"/>
    <w:rsid w:val="002E4A44"/>
    <w:rsid w:val="002E4A7A"/>
    <w:rsid w:val="002E4FF7"/>
    <w:rsid w:val="002E57C0"/>
    <w:rsid w:val="002E5C0B"/>
    <w:rsid w:val="002E6877"/>
    <w:rsid w:val="002F02E1"/>
    <w:rsid w:val="002F0CC3"/>
    <w:rsid w:val="002F1D09"/>
    <w:rsid w:val="002F1D55"/>
    <w:rsid w:val="002F2C45"/>
    <w:rsid w:val="002F346B"/>
    <w:rsid w:val="002F378B"/>
    <w:rsid w:val="002F3D48"/>
    <w:rsid w:val="002F481E"/>
    <w:rsid w:val="002F4ABA"/>
    <w:rsid w:val="002F4D25"/>
    <w:rsid w:val="002F4ED9"/>
    <w:rsid w:val="002F510B"/>
    <w:rsid w:val="002F5C75"/>
    <w:rsid w:val="002F60D0"/>
    <w:rsid w:val="002F652B"/>
    <w:rsid w:val="003017A1"/>
    <w:rsid w:val="00301D18"/>
    <w:rsid w:val="00302C9D"/>
    <w:rsid w:val="00303698"/>
    <w:rsid w:val="00304232"/>
    <w:rsid w:val="00304327"/>
    <w:rsid w:val="003051AE"/>
    <w:rsid w:val="003053C6"/>
    <w:rsid w:val="003056B7"/>
    <w:rsid w:val="00310F95"/>
    <w:rsid w:val="00311A30"/>
    <w:rsid w:val="00311AAE"/>
    <w:rsid w:val="00311B92"/>
    <w:rsid w:val="00312447"/>
    <w:rsid w:val="00312CC0"/>
    <w:rsid w:val="00312D80"/>
    <w:rsid w:val="00313196"/>
    <w:rsid w:val="003131EC"/>
    <w:rsid w:val="003139BF"/>
    <w:rsid w:val="00314330"/>
    <w:rsid w:val="00314FDE"/>
    <w:rsid w:val="003152AD"/>
    <w:rsid w:val="00316D77"/>
    <w:rsid w:val="003175EB"/>
    <w:rsid w:val="00317FA9"/>
    <w:rsid w:val="00320042"/>
    <w:rsid w:val="003209C0"/>
    <w:rsid w:val="00320E6D"/>
    <w:rsid w:val="0032211C"/>
    <w:rsid w:val="003229F4"/>
    <w:rsid w:val="00322DB9"/>
    <w:rsid w:val="003238E7"/>
    <w:rsid w:val="00324253"/>
    <w:rsid w:val="00324274"/>
    <w:rsid w:val="003243D5"/>
    <w:rsid w:val="00324C03"/>
    <w:rsid w:val="00325824"/>
    <w:rsid w:val="00325FD6"/>
    <w:rsid w:val="003263B0"/>
    <w:rsid w:val="00327246"/>
    <w:rsid w:val="0032724D"/>
    <w:rsid w:val="00327EA9"/>
    <w:rsid w:val="00330A87"/>
    <w:rsid w:val="00331347"/>
    <w:rsid w:val="0033314A"/>
    <w:rsid w:val="00335B92"/>
    <w:rsid w:val="00335C23"/>
    <w:rsid w:val="003363AC"/>
    <w:rsid w:val="003368B8"/>
    <w:rsid w:val="0033697D"/>
    <w:rsid w:val="0033742E"/>
    <w:rsid w:val="00337478"/>
    <w:rsid w:val="00337642"/>
    <w:rsid w:val="003406C6"/>
    <w:rsid w:val="00341009"/>
    <w:rsid w:val="00341B11"/>
    <w:rsid w:val="00341E4F"/>
    <w:rsid w:val="0034241B"/>
    <w:rsid w:val="003425F1"/>
    <w:rsid w:val="003438A5"/>
    <w:rsid w:val="00343978"/>
    <w:rsid w:val="003440F4"/>
    <w:rsid w:val="0034431C"/>
    <w:rsid w:val="0034469A"/>
    <w:rsid w:val="00344AB1"/>
    <w:rsid w:val="003450A5"/>
    <w:rsid w:val="00345923"/>
    <w:rsid w:val="003461A7"/>
    <w:rsid w:val="00346AFF"/>
    <w:rsid w:val="00346E01"/>
    <w:rsid w:val="00347028"/>
    <w:rsid w:val="00347A29"/>
    <w:rsid w:val="00347F6B"/>
    <w:rsid w:val="00351A33"/>
    <w:rsid w:val="00351BA0"/>
    <w:rsid w:val="00351CDA"/>
    <w:rsid w:val="00352613"/>
    <w:rsid w:val="00352CE9"/>
    <w:rsid w:val="003548D0"/>
    <w:rsid w:val="003559AB"/>
    <w:rsid w:val="00355B42"/>
    <w:rsid w:val="00356453"/>
    <w:rsid w:val="003567B0"/>
    <w:rsid w:val="003570EE"/>
    <w:rsid w:val="00360759"/>
    <w:rsid w:val="00360FEE"/>
    <w:rsid w:val="00361641"/>
    <w:rsid w:val="00361C2A"/>
    <w:rsid w:val="00361CEA"/>
    <w:rsid w:val="00363F4D"/>
    <w:rsid w:val="00364F77"/>
    <w:rsid w:val="00366392"/>
    <w:rsid w:val="00366A1F"/>
    <w:rsid w:val="00366BC0"/>
    <w:rsid w:val="00366DF0"/>
    <w:rsid w:val="0036760F"/>
    <w:rsid w:val="003712A6"/>
    <w:rsid w:val="00371887"/>
    <w:rsid w:val="00371E0F"/>
    <w:rsid w:val="00372A8A"/>
    <w:rsid w:val="00372DE9"/>
    <w:rsid w:val="00372E7F"/>
    <w:rsid w:val="00374128"/>
    <w:rsid w:val="00374857"/>
    <w:rsid w:val="00374BC4"/>
    <w:rsid w:val="00375343"/>
    <w:rsid w:val="0037597D"/>
    <w:rsid w:val="00375D56"/>
    <w:rsid w:val="00375DF8"/>
    <w:rsid w:val="0037624F"/>
    <w:rsid w:val="00377003"/>
    <w:rsid w:val="00377018"/>
    <w:rsid w:val="00380072"/>
    <w:rsid w:val="0038024E"/>
    <w:rsid w:val="0038111A"/>
    <w:rsid w:val="00381288"/>
    <w:rsid w:val="003818C3"/>
    <w:rsid w:val="00381D42"/>
    <w:rsid w:val="003823EE"/>
    <w:rsid w:val="00382A08"/>
    <w:rsid w:val="0038398F"/>
    <w:rsid w:val="003849FB"/>
    <w:rsid w:val="00384A57"/>
    <w:rsid w:val="00385BD1"/>
    <w:rsid w:val="00385F1D"/>
    <w:rsid w:val="003862B0"/>
    <w:rsid w:val="00386813"/>
    <w:rsid w:val="003873D1"/>
    <w:rsid w:val="00387DA0"/>
    <w:rsid w:val="00391051"/>
    <w:rsid w:val="00391671"/>
    <w:rsid w:val="003917C4"/>
    <w:rsid w:val="00391C5E"/>
    <w:rsid w:val="0039203D"/>
    <w:rsid w:val="00392462"/>
    <w:rsid w:val="003929A8"/>
    <w:rsid w:val="00392EC0"/>
    <w:rsid w:val="0039314F"/>
    <w:rsid w:val="00394394"/>
    <w:rsid w:val="00394BE4"/>
    <w:rsid w:val="00394D25"/>
    <w:rsid w:val="003956C1"/>
    <w:rsid w:val="00395798"/>
    <w:rsid w:val="003958EC"/>
    <w:rsid w:val="00395A80"/>
    <w:rsid w:val="00395BD4"/>
    <w:rsid w:val="00396144"/>
    <w:rsid w:val="00396146"/>
    <w:rsid w:val="003966BF"/>
    <w:rsid w:val="003A07C8"/>
    <w:rsid w:val="003A0887"/>
    <w:rsid w:val="003A0B9B"/>
    <w:rsid w:val="003A0F53"/>
    <w:rsid w:val="003A1215"/>
    <w:rsid w:val="003A1AAD"/>
    <w:rsid w:val="003A1E38"/>
    <w:rsid w:val="003A4486"/>
    <w:rsid w:val="003A4746"/>
    <w:rsid w:val="003A572A"/>
    <w:rsid w:val="003A5A2C"/>
    <w:rsid w:val="003A65DD"/>
    <w:rsid w:val="003A6EC1"/>
    <w:rsid w:val="003B0AFC"/>
    <w:rsid w:val="003B0E1C"/>
    <w:rsid w:val="003B112F"/>
    <w:rsid w:val="003B1F03"/>
    <w:rsid w:val="003B2CD6"/>
    <w:rsid w:val="003B3527"/>
    <w:rsid w:val="003B4567"/>
    <w:rsid w:val="003B4E34"/>
    <w:rsid w:val="003B5810"/>
    <w:rsid w:val="003B5B1E"/>
    <w:rsid w:val="003B60E7"/>
    <w:rsid w:val="003B784D"/>
    <w:rsid w:val="003B7CE9"/>
    <w:rsid w:val="003B7EC9"/>
    <w:rsid w:val="003C06CF"/>
    <w:rsid w:val="003C126B"/>
    <w:rsid w:val="003C184F"/>
    <w:rsid w:val="003C1ED4"/>
    <w:rsid w:val="003C2269"/>
    <w:rsid w:val="003C228D"/>
    <w:rsid w:val="003C236C"/>
    <w:rsid w:val="003C241D"/>
    <w:rsid w:val="003C2D12"/>
    <w:rsid w:val="003C2E67"/>
    <w:rsid w:val="003C30A5"/>
    <w:rsid w:val="003C3140"/>
    <w:rsid w:val="003C3274"/>
    <w:rsid w:val="003C380F"/>
    <w:rsid w:val="003C3E7A"/>
    <w:rsid w:val="003C4379"/>
    <w:rsid w:val="003C4DF6"/>
    <w:rsid w:val="003C604D"/>
    <w:rsid w:val="003C6D74"/>
    <w:rsid w:val="003D1CF7"/>
    <w:rsid w:val="003D2BE7"/>
    <w:rsid w:val="003D4F9D"/>
    <w:rsid w:val="003D515D"/>
    <w:rsid w:val="003D5453"/>
    <w:rsid w:val="003D5B90"/>
    <w:rsid w:val="003D6891"/>
    <w:rsid w:val="003D6E2C"/>
    <w:rsid w:val="003D7A00"/>
    <w:rsid w:val="003E0B53"/>
    <w:rsid w:val="003E0DCD"/>
    <w:rsid w:val="003E18DA"/>
    <w:rsid w:val="003E1F27"/>
    <w:rsid w:val="003E26AA"/>
    <w:rsid w:val="003E3023"/>
    <w:rsid w:val="003E342D"/>
    <w:rsid w:val="003E4117"/>
    <w:rsid w:val="003E4455"/>
    <w:rsid w:val="003E45CE"/>
    <w:rsid w:val="003E4707"/>
    <w:rsid w:val="003E4F2E"/>
    <w:rsid w:val="003E57A7"/>
    <w:rsid w:val="003E5A56"/>
    <w:rsid w:val="003E5D85"/>
    <w:rsid w:val="003E5F0B"/>
    <w:rsid w:val="003E607C"/>
    <w:rsid w:val="003E6212"/>
    <w:rsid w:val="003E75DD"/>
    <w:rsid w:val="003F0A3F"/>
    <w:rsid w:val="003F0E6D"/>
    <w:rsid w:val="003F1417"/>
    <w:rsid w:val="003F1D50"/>
    <w:rsid w:val="003F210D"/>
    <w:rsid w:val="003F2D28"/>
    <w:rsid w:val="003F2E7A"/>
    <w:rsid w:val="003F32A1"/>
    <w:rsid w:val="003F437B"/>
    <w:rsid w:val="003F4650"/>
    <w:rsid w:val="003F5506"/>
    <w:rsid w:val="003F576A"/>
    <w:rsid w:val="003F5965"/>
    <w:rsid w:val="003F6985"/>
    <w:rsid w:val="003F6F4E"/>
    <w:rsid w:val="003F6F6E"/>
    <w:rsid w:val="003F7CAE"/>
    <w:rsid w:val="003F7D27"/>
    <w:rsid w:val="003F7F5F"/>
    <w:rsid w:val="004003EE"/>
    <w:rsid w:val="00400BE9"/>
    <w:rsid w:val="00401828"/>
    <w:rsid w:val="00401C06"/>
    <w:rsid w:val="00403C0D"/>
    <w:rsid w:val="00403F3F"/>
    <w:rsid w:val="0040525E"/>
    <w:rsid w:val="004052CF"/>
    <w:rsid w:val="00405903"/>
    <w:rsid w:val="00405A17"/>
    <w:rsid w:val="00405A8A"/>
    <w:rsid w:val="00405C58"/>
    <w:rsid w:val="00405D94"/>
    <w:rsid w:val="00405E98"/>
    <w:rsid w:val="004063F1"/>
    <w:rsid w:val="0040715D"/>
    <w:rsid w:val="00407B70"/>
    <w:rsid w:val="00412B33"/>
    <w:rsid w:val="00412C29"/>
    <w:rsid w:val="00412FD8"/>
    <w:rsid w:val="00413202"/>
    <w:rsid w:val="0041403B"/>
    <w:rsid w:val="0041416D"/>
    <w:rsid w:val="0041423F"/>
    <w:rsid w:val="00415386"/>
    <w:rsid w:val="0041590C"/>
    <w:rsid w:val="00416887"/>
    <w:rsid w:val="00416CDE"/>
    <w:rsid w:val="00417107"/>
    <w:rsid w:val="0041729B"/>
    <w:rsid w:val="0041746A"/>
    <w:rsid w:val="004175BE"/>
    <w:rsid w:val="00417661"/>
    <w:rsid w:val="00417C95"/>
    <w:rsid w:val="00417D3F"/>
    <w:rsid w:val="00420027"/>
    <w:rsid w:val="00421510"/>
    <w:rsid w:val="00421652"/>
    <w:rsid w:val="00421A53"/>
    <w:rsid w:val="00421CA6"/>
    <w:rsid w:val="00422947"/>
    <w:rsid w:val="00422DB9"/>
    <w:rsid w:val="0042351D"/>
    <w:rsid w:val="00423567"/>
    <w:rsid w:val="004239DA"/>
    <w:rsid w:val="0042452A"/>
    <w:rsid w:val="004248A9"/>
    <w:rsid w:val="00424E3F"/>
    <w:rsid w:val="0042537D"/>
    <w:rsid w:val="00425C6A"/>
    <w:rsid w:val="00425E89"/>
    <w:rsid w:val="00426B7B"/>
    <w:rsid w:val="0042785F"/>
    <w:rsid w:val="00427E90"/>
    <w:rsid w:val="00431369"/>
    <w:rsid w:val="00431546"/>
    <w:rsid w:val="00431BE4"/>
    <w:rsid w:val="004328F1"/>
    <w:rsid w:val="004336CA"/>
    <w:rsid w:val="0043550E"/>
    <w:rsid w:val="00436CE4"/>
    <w:rsid w:val="0043725F"/>
    <w:rsid w:val="00437269"/>
    <w:rsid w:val="0043729B"/>
    <w:rsid w:val="00440500"/>
    <w:rsid w:val="0044083C"/>
    <w:rsid w:val="00441D5F"/>
    <w:rsid w:val="00441F74"/>
    <w:rsid w:val="0044260C"/>
    <w:rsid w:val="00442848"/>
    <w:rsid w:val="00442BF0"/>
    <w:rsid w:val="00442D1D"/>
    <w:rsid w:val="00442EB6"/>
    <w:rsid w:val="00443185"/>
    <w:rsid w:val="0044358B"/>
    <w:rsid w:val="00443D51"/>
    <w:rsid w:val="00443E93"/>
    <w:rsid w:val="00444FB9"/>
    <w:rsid w:val="004458D6"/>
    <w:rsid w:val="00445ACD"/>
    <w:rsid w:val="00445C7B"/>
    <w:rsid w:val="00446029"/>
    <w:rsid w:val="00446A7A"/>
    <w:rsid w:val="00447D4C"/>
    <w:rsid w:val="0045005C"/>
    <w:rsid w:val="00450492"/>
    <w:rsid w:val="00451210"/>
    <w:rsid w:val="004516EF"/>
    <w:rsid w:val="00451BCD"/>
    <w:rsid w:val="00452991"/>
    <w:rsid w:val="004533CB"/>
    <w:rsid w:val="00453CB8"/>
    <w:rsid w:val="00454206"/>
    <w:rsid w:val="004552E0"/>
    <w:rsid w:val="004563D5"/>
    <w:rsid w:val="00456AC3"/>
    <w:rsid w:val="0045792D"/>
    <w:rsid w:val="00457A2A"/>
    <w:rsid w:val="00460067"/>
    <w:rsid w:val="00460108"/>
    <w:rsid w:val="0046139E"/>
    <w:rsid w:val="00461DC0"/>
    <w:rsid w:val="004637E1"/>
    <w:rsid w:val="00463D85"/>
    <w:rsid w:val="00464088"/>
    <w:rsid w:val="00464958"/>
    <w:rsid w:val="00464B1F"/>
    <w:rsid w:val="00464B99"/>
    <w:rsid w:val="004658E1"/>
    <w:rsid w:val="00465A03"/>
    <w:rsid w:val="00465AF5"/>
    <w:rsid w:val="0046603A"/>
    <w:rsid w:val="004663BD"/>
    <w:rsid w:val="00466D2A"/>
    <w:rsid w:val="00466FD9"/>
    <w:rsid w:val="00466FFF"/>
    <w:rsid w:val="00467E3E"/>
    <w:rsid w:val="00470484"/>
    <w:rsid w:val="004709A6"/>
    <w:rsid w:val="00470AF1"/>
    <w:rsid w:val="00470C13"/>
    <w:rsid w:val="004713D4"/>
    <w:rsid w:val="00471421"/>
    <w:rsid w:val="00471857"/>
    <w:rsid w:val="00471FA8"/>
    <w:rsid w:val="0047454A"/>
    <w:rsid w:val="00474A3F"/>
    <w:rsid w:val="00474AD6"/>
    <w:rsid w:val="0047754E"/>
    <w:rsid w:val="0048008F"/>
    <w:rsid w:val="00480460"/>
    <w:rsid w:val="0048074F"/>
    <w:rsid w:val="004809FC"/>
    <w:rsid w:val="004811B1"/>
    <w:rsid w:val="004817B5"/>
    <w:rsid w:val="00482FB6"/>
    <w:rsid w:val="00483814"/>
    <w:rsid w:val="00483F9D"/>
    <w:rsid w:val="004843FC"/>
    <w:rsid w:val="004848FC"/>
    <w:rsid w:val="00485D49"/>
    <w:rsid w:val="004862CC"/>
    <w:rsid w:val="00486550"/>
    <w:rsid w:val="00486E48"/>
    <w:rsid w:val="00486FFD"/>
    <w:rsid w:val="004870B3"/>
    <w:rsid w:val="00487C38"/>
    <w:rsid w:val="004909EB"/>
    <w:rsid w:val="0049133B"/>
    <w:rsid w:val="00491AEA"/>
    <w:rsid w:val="00492333"/>
    <w:rsid w:val="00492A7E"/>
    <w:rsid w:val="00492C8C"/>
    <w:rsid w:val="00493015"/>
    <w:rsid w:val="00493184"/>
    <w:rsid w:val="00495411"/>
    <w:rsid w:val="004956B4"/>
    <w:rsid w:val="00496270"/>
    <w:rsid w:val="00496967"/>
    <w:rsid w:val="00496F41"/>
    <w:rsid w:val="00497CEF"/>
    <w:rsid w:val="004A00CA"/>
    <w:rsid w:val="004A0506"/>
    <w:rsid w:val="004A1514"/>
    <w:rsid w:val="004A156E"/>
    <w:rsid w:val="004A19F7"/>
    <w:rsid w:val="004A20F2"/>
    <w:rsid w:val="004A22FA"/>
    <w:rsid w:val="004A29DF"/>
    <w:rsid w:val="004A30F4"/>
    <w:rsid w:val="004A34D8"/>
    <w:rsid w:val="004A3690"/>
    <w:rsid w:val="004A3BEC"/>
    <w:rsid w:val="004A3E82"/>
    <w:rsid w:val="004A4B29"/>
    <w:rsid w:val="004A5291"/>
    <w:rsid w:val="004A542A"/>
    <w:rsid w:val="004A559C"/>
    <w:rsid w:val="004A6A91"/>
    <w:rsid w:val="004A6B64"/>
    <w:rsid w:val="004A6C98"/>
    <w:rsid w:val="004A7852"/>
    <w:rsid w:val="004A7D78"/>
    <w:rsid w:val="004B0108"/>
    <w:rsid w:val="004B0377"/>
    <w:rsid w:val="004B071C"/>
    <w:rsid w:val="004B0DA9"/>
    <w:rsid w:val="004B29E2"/>
    <w:rsid w:val="004B3954"/>
    <w:rsid w:val="004B3AFF"/>
    <w:rsid w:val="004B3FA9"/>
    <w:rsid w:val="004B4133"/>
    <w:rsid w:val="004B430D"/>
    <w:rsid w:val="004B5675"/>
    <w:rsid w:val="004B56B4"/>
    <w:rsid w:val="004B5756"/>
    <w:rsid w:val="004B58EE"/>
    <w:rsid w:val="004B637C"/>
    <w:rsid w:val="004B6ADC"/>
    <w:rsid w:val="004B71DB"/>
    <w:rsid w:val="004B7E66"/>
    <w:rsid w:val="004C00DD"/>
    <w:rsid w:val="004C0475"/>
    <w:rsid w:val="004C05E4"/>
    <w:rsid w:val="004C0985"/>
    <w:rsid w:val="004C0DCC"/>
    <w:rsid w:val="004C0DE5"/>
    <w:rsid w:val="004C1D01"/>
    <w:rsid w:val="004C2F8B"/>
    <w:rsid w:val="004C46A7"/>
    <w:rsid w:val="004C47D5"/>
    <w:rsid w:val="004C6268"/>
    <w:rsid w:val="004C6716"/>
    <w:rsid w:val="004C6BD4"/>
    <w:rsid w:val="004C6D54"/>
    <w:rsid w:val="004C74F4"/>
    <w:rsid w:val="004C7AAD"/>
    <w:rsid w:val="004C7CE2"/>
    <w:rsid w:val="004D0FEE"/>
    <w:rsid w:val="004D122A"/>
    <w:rsid w:val="004D158D"/>
    <w:rsid w:val="004D16F0"/>
    <w:rsid w:val="004D1C58"/>
    <w:rsid w:val="004D2394"/>
    <w:rsid w:val="004D26E2"/>
    <w:rsid w:val="004D3178"/>
    <w:rsid w:val="004D33C0"/>
    <w:rsid w:val="004D3813"/>
    <w:rsid w:val="004D4827"/>
    <w:rsid w:val="004D58E5"/>
    <w:rsid w:val="004D5B93"/>
    <w:rsid w:val="004D69A7"/>
    <w:rsid w:val="004D6DE2"/>
    <w:rsid w:val="004D7C5D"/>
    <w:rsid w:val="004E0501"/>
    <w:rsid w:val="004E1627"/>
    <w:rsid w:val="004E1961"/>
    <w:rsid w:val="004E2177"/>
    <w:rsid w:val="004E246A"/>
    <w:rsid w:val="004E25C8"/>
    <w:rsid w:val="004E4E36"/>
    <w:rsid w:val="004E56C6"/>
    <w:rsid w:val="004E5C38"/>
    <w:rsid w:val="004E5D65"/>
    <w:rsid w:val="004E6095"/>
    <w:rsid w:val="004E60BE"/>
    <w:rsid w:val="004E688D"/>
    <w:rsid w:val="004E7355"/>
    <w:rsid w:val="004F0ADC"/>
    <w:rsid w:val="004F0D3E"/>
    <w:rsid w:val="004F13E9"/>
    <w:rsid w:val="004F1F8C"/>
    <w:rsid w:val="004F2F81"/>
    <w:rsid w:val="004F3CB7"/>
    <w:rsid w:val="004F4746"/>
    <w:rsid w:val="004F4A26"/>
    <w:rsid w:val="004F5266"/>
    <w:rsid w:val="004F5F08"/>
    <w:rsid w:val="004F6495"/>
    <w:rsid w:val="004F6CB2"/>
    <w:rsid w:val="004F6D3D"/>
    <w:rsid w:val="004F7278"/>
    <w:rsid w:val="00500F46"/>
    <w:rsid w:val="005017A3"/>
    <w:rsid w:val="00501BB0"/>
    <w:rsid w:val="00501DEB"/>
    <w:rsid w:val="005029BE"/>
    <w:rsid w:val="00502D56"/>
    <w:rsid w:val="00502EF9"/>
    <w:rsid w:val="00505168"/>
    <w:rsid w:val="0050539E"/>
    <w:rsid w:val="005053FC"/>
    <w:rsid w:val="00505F64"/>
    <w:rsid w:val="0050633C"/>
    <w:rsid w:val="0050696B"/>
    <w:rsid w:val="00506E03"/>
    <w:rsid w:val="00507256"/>
    <w:rsid w:val="00507F8F"/>
    <w:rsid w:val="00510CBC"/>
    <w:rsid w:val="00512200"/>
    <w:rsid w:val="005123B3"/>
    <w:rsid w:val="00512E15"/>
    <w:rsid w:val="0051535E"/>
    <w:rsid w:val="005157C7"/>
    <w:rsid w:val="00515F8D"/>
    <w:rsid w:val="005173DD"/>
    <w:rsid w:val="005178B9"/>
    <w:rsid w:val="00517B9A"/>
    <w:rsid w:val="0052011E"/>
    <w:rsid w:val="00520950"/>
    <w:rsid w:val="00521276"/>
    <w:rsid w:val="00521EB4"/>
    <w:rsid w:val="00522546"/>
    <w:rsid w:val="0052259E"/>
    <w:rsid w:val="00522ED5"/>
    <w:rsid w:val="0052374D"/>
    <w:rsid w:val="00523896"/>
    <w:rsid w:val="00523F8F"/>
    <w:rsid w:val="00524618"/>
    <w:rsid w:val="00525C12"/>
    <w:rsid w:val="00525D41"/>
    <w:rsid w:val="00526695"/>
    <w:rsid w:val="0052730D"/>
    <w:rsid w:val="00527715"/>
    <w:rsid w:val="00527E48"/>
    <w:rsid w:val="005301E4"/>
    <w:rsid w:val="005303EF"/>
    <w:rsid w:val="005303F6"/>
    <w:rsid w:val="00530A3A"/>
    <w:rsid w:val="005312C4"/>
    <w:rsid w:val="00531FB1"/>
    <w:rsid w:val="0053207F"/>
    <w:rsid w:val="00532362"/>
    <w:rsid w:val="00532D9E"/>
    <w:rsid w:val="005330F4"/>
    <w:rsid w:val="00533825"/>
    <w:rsid w:val="00533FBC"/>
    <w:rsid w:val="0053445C"/>
    <w:rsid w:val="0053447D"/>
    <w:rsid w:val="0053462D"/>
    <w:rsid w:val="005368D4"/>
    <w:rsid w:val="00537AD8"/>
    <w:rsid w:val="00537DD0"/>
    <w:rsid w:val="0054157D"/>
    <w:rsid w:val="005415EA"/>
    <w:rsid w:val="0054172F"/>
    <w:rsid w:val="00541D1F"/>
    <w:rsid w:val="00543552"/>
    <w:rsid w:val="0054487E"/>
    <w:rsid w:val="00544C33"/>
    <w:rsid w:val="0054532D"/>
    <w:rsid w:val="0054693A"/>
    <w:rsid w:val="0054726E"/>
    <w:rsid w:val="005472ED"/>
    <w:rsid w:val="005473AE"/>
    <w:rsid w:val="005474F5"/>
    <w:rsid w:val="0054773C"/>
    <w:rsid w:val="00550110"/>
    <w:rsid w:val="0055028E"/>
    <w:rsid w:val="005506F9"/>
    <w:rsid w:val="00552211"/>
    <w:rsid w:val="005524A2"/>
    <w:rsid w:val="005524BB"/>
    <w:rsid w:val="0055307D"/>
    <w:rsid w:val="00553515"/>
    <w:rsid w:val="005536E7"/>
    <w:rsid w:val="00553890"/>
    <w:rsid w:val="00556224"/>
    <w:rsid w:val="00556336"/>
    <w:rsid w:val="00556FE7"/>
    <w:rsid w:val="0055766E"/>
    <w:rsid w:val="005578DE"/>
    <w:rsid w:val="005579C7"/>
    <w:rsid w:val="00557CA8"/>
    <w:rsid w:val="00560044"/>
    <w:rsid w:val="0056016E"/>
    <w:rsid w:val="005607F8"/>
    <w:rsid w:val="005621FB"/>
    <w:rsid w:val="00562E70"/>
    <w:rsid w:val="005652C8"/>
    <w:rsid w:val="005658EC"/>
    <w:rsid w:val="005661BD"/>
    <w:rsid w:val="00566237"/>
    <w:rsid w:val="00566908"/>
    <w:rsid w:val="00566D83"/>
    <w:rsid w:val="0056732F"/>
    <w:rsid w:val="00567910"/>
    <w:rsid w:val="00567F1F"/>
    <w:rsid w:val="0057037C"/>
    <w:rsid w:val="00570AEF"/>
    <w:rsid w:val="00570CA6"/>
    <w:rsid w:val="00571685"/>
    <w:rsid w:val="00571914"/>
    <w:rsid w:val="00571EFB"/>
    <w:rsid w:val="00572530"/>
    <w:rsid w:val="005727DB"/>
    <w:rsid w:val="00572DDD"/>
    <w:rsid w:val="005734CB"/>
    <w:rsid w:val="0057554A"/>
    <w:rsid w:val="00576FB2"/>
    <w:rsid w:val="00577153"/>
    <w:rsid w:val="005804CE"/>
    <w:rsid w:val="00582924"/>
    <w:rsid w:val="00582DA8"/>
    <w:rsid w:val="00582DE5"/>
    <w:rsid w:val="0058335F"/>
    <w:rsid w:val="00584C38"/>
    <w:rsid w:val="00584E60"/>
    <w:rsid w:val="00585514"/>
    <w:rsid w:val="00585FED"/>
    <w:rsid w:val="005861F6"/>
    <w:rsid w:val="00586919"/>
    <w:rsid w:val="00586EE5"/>
    <w:rsid w:val="00586FAC"/>
    <w:rsid w:val="00586FE9"/>
    <w:rsid w:val="00587102"/>
    <w:rsid w:val="005877D9"/>
    <w:rsid w:val="00590CB7"/>
    <w:rsid w:val="00592749"/>
    <w:rsid w:val="005934D6"/>
    <w:rsid w:val="00593A1C"/>
    <w:rsid w:val="005958FA"/>
    <w:rsid w:val="00596128"/>
    <w:rsid w:val="00596EE3"/>
    <w:rsid w:val="00597943"/>
    <w:rsid w:val="00597DA6"/>
    <w:rsid w:val="005A082D"/>
    <w:rsid w:val="005A0E91"/>
    <w:rsid w:val="005A1752"/>
    <w:rsid w:val="005A1CFD"/>
    <w:rsid w:val="005A20D5"/>
    <w:rsid w:val="005A22D6"/>
    <w:rsid w:val="005A2B80"/>
    <w:rsid w:val="005A2D23"/>
    <w:rsid w:val="005A2E60"/>
    <w:rsid w:val="005A330B"/>
    <w:rsid w:val="005A3B83"/>
    <w:rsid w:val="005A3DC5"/>
    <w:rsid w:val="005A59BF"/>
    <w:rsid w:val="005A60FA"/>
    <w:rsid w:val="005A71F2"/>
    <w:rsid w:val="005A7234"/>
    <w:rsid w:val="005A7845"/>
    <w:rsid w:val="005A7A9E"/>
    <w:rsid w:val="005B0245"/>
    <w:rsid w:val="005B078C"/>
    <w:rsid w:val="005B0F66"/>
    <w:rsid w:val="005B2B01"/>
    <w:rsid w:val="005B2D72"/>
    <w:rsid w:val="005B4B0F"/>
    <w:rsid w:val="005B4B60"/>
    <w:rsid w:val="005B51E1"/>
    <w:rsid w:val="005B55C6"/>
    <w:rsid w:val="005B6555"/>
    <w:rsid w:val="005B67C9"/>
    <w:rsid w:val="005B772B"/>
    <w:rsid w:val="005B789C"/>
    <w:rsid w:val="005B7F13"/>
    <w:rsid w:val="005C1355"/>
    <w:rsid w:val="005C2CBA"/>
    <w:rsid w:val="005C3578"/>
    <w:rsid w:val="005C3605"/>
    <w:rsid w:val="005C4F9A"/>
    <w:rsid w:val="005C568A"/>
    <w:rsid w:val="005C6B77"/>
    <w:rsid w:val="005C6C4F"/>
    <w:rsid w:val="005C6CEF"/>
    <w:rsid w:val="005C7057"/>
    <w:rsid w:val="005C728B"/>
    <w:rsid w:val="005C73DE"/>
    <w:rsid w:val="005D02CB"/>
    <w:rsid w:val="005D04E8"/>
    <w:rsid w:val="005D0AE8"/>
    <w:rsid w:val="005D16C5"/>
    <w:rsid w:val="005D1E91"/>
    <w:rsid w:val="005D2FAE"/>
    <w:rsid w:val="005D488C"/>
    <w:rsid w:val="005D6BE3"/>
    <w:rsid w:val="005D6C6E"/>
    <w:rsid w:val="005D6C74"/>
    <w:rsid w:val="005D7434"/>
    <w:rsid w:val="005D7D26"/>
    <w:rsid w:val="005E1195"/>
    <w:rsid w:val="005E1279"/>
    <w:rsid w:val="005E274B"/>
    <w:rsid w:val="005E29C7"/>
    <w:rsid w:val="005E391F"/>
    <w:rsid w:val="005E48DD"/>
    <w:rsid w:val="005E4B21"/>
    <w:rsid w:val="005E4F70"/>
    <w:rsid w:val="005F0F5D"/>
    <w:rsid w:val="005F0F79"/>
    <w:rsid w:val="005F19C6"/>
    <w:rsid w:val="005F1DFE"/>
    <w:rsid w:val="005F20B2"/>
    <w:rsid w:val="005F2112"/>
    <w:rsid w:val="005F243C"/>
    <w:rsid w:val="005F24DB"/>
    <w:rsid w:val="005F2BCC"/>
    <w:rsid w:val="005F37F5"/>
    <w:rsid w:val="005F3FBE"/>
    <w:rsid w:val="005F45AB"/>
    <w:rsid w:val="005F4E68"/>
    <w:rsid w:val="005F5BBE"/>
    <w:rsid w:val="005F5ED3"/>
    <w:rsid w:val="005F5EF7"/>
    <w:rsid w:val="005F7FD3"/>
    <w:rsid w:val="0060024C"/>
    <w:rsid w:val="0060063B"/>
    <w:rsid w:val="00600B5F"/>
    <w:rsid w:val="00600F7B"/>
    <w:rsid w:val="00601426"/>
    <w:rsid w:val="00602175"/>
    <w:rsid w:val="00602985"/>
    <w:rsid w:val="00602A78"/>
    <w:rsid w:val="00602B05"/>
    <w:rsid w:val="00602D84"/>
    <w:rsid w:val="00603571"/>
    <w:rsid w:val="006039F4"/>
    <w:rsid w:val="00604612"/>
    <w:rsid w:val="00605A19"/>
    <w:rsid w:val="00606293"/>
    <w:rsid w:val="006067BE"/>
    <w:rsid w:val="00606B26"/>
    <w:rsid w:val="006075BB"/>
    <w:rsid w:val="00607F6A"/>
    <w:rsid w:val="00607FC4"/>
    <w:rsid w:val="006109A3"/>
    <w:rsid w:val="00610A42"/>
    <w:rsid w:val="00610D39"/>
    <w:rsid w:val="006112C7"/>
    <w:rsid w:val="00611489"/>
    <w:rsid w:val="00612537"/>
    <w:rsid w:val="00612998"/>
    <w:rsid w:val="00613255"/>
    <w:rsid w:val="0061368A"/>
    <w:rsid w:val="00613EB0"/>
    <w:rsid w:val="006142B4"/>
    <w:rsid w:val="006152BF"/>
    <w:rsid w:val="00615726"/>
    <w:rsid w:val="006159F7"/>
    <w:rsid w:val="00615DDD"/>
    <w:rsid w:val="006161F0"/>
    <w:rsid w:val="0061642E"/>
    <w:rsid w:val="006164BC"/>
    <w:rsid w:val="006172D9"/>
    <w:rsid w:val="0061750F"/>
    <w:rsid w:val="006202F8"/>
    <w:rsid w:val="006204B2"/>
    <w:rsid w:val="00620C63"/>
    <w:rsid w:val="00621505"/>
    <w:rsid w:val="0062170B"/>
    <w:rsid w:val="0062172C"/>
    <w:rsid w:val="006219EF"/>
    <w:rsid w:val="00621E7B"/>
    <w:rsid w:val="0062205D"/>
    <w:rsid w:val="00622AE8"/>
    <w:rsid w:val="00622B48"/>
    <w:rsid w:val="00622D2E"/>
    <w:rsid w:val="00622FDE"/>
    <w:rsid w:val="006230E7"/>
    <w:rsid w:val="006240D3"/>
    <w:rsid w:val="00624533"/>
    <w:rsid w:val="00624F79"/>
    <w:rsid w:val="00625C5E"/>
    <w:rsid w:val="00626F3E"/>
    <w:rsid w:val="006274DB"/>
    <w:rsid w:val="006275CB"/>
    <w:rsid w:val="00627A69"/>
    <w:rsid w:val="00630F59"/>
    <w:rsid w:val="00631D0C"/>
    <w:rsid w:val="00631DFE"/>
    <w:rsid w:val="00631EDD"/>
    <w:rsid w:val="006326BD"/>
    <w:rsid w:val="00633B9E"/>
    <w:rsid w:val="00634055"/>
    <w:rsid w:val="0063463E"/>
    <w:rsid w:val="00634835"/>
    <w:rsid w:val="006357D2"/>
    <w:rsid w:val="00635C6F"/>
    <w:rsid w:val="00636B65"/>
    <w:rsid w:val="00637241"/>
    <w:rsid w:val="00637794"/>
    <w:rsid w:val="00640530"/>
    <w:rsid w:val="00641CCF"/>
    <w:rsid w:val="00641DE4"/>
    <w:rsid w:val="0064267F"/>
    <w:rsid w:val="00642978"/>
    <w:rsid w:val="00642B90"/>
    <w:rsid w:val="00642BA3"/>
    <w:rsid w:val="00643CB7"/>
    <w:rsid w:val="00643FB6"/>
    <w:rsid w:val="00644536"/>
    <w:rsid w:val="006445B0"/>
    <w:rsid w:val="00645218"/>
    <w:rsid w:val="00645951"/>
    <w:rsid w:val="00645DF6"/>
    <w:rsid w:val="00645E99"/>
    <w:rsid w:val="00646AFD"/>
    <w:rsid w:val="0065023C"/>
    <w:rsid w:val="00650FF0"/>
    <w:rsid w:val="0065154F"/>
    <w:rsid w:val="00651DCD"/>
    <w:rsid w:val="0065260F"/>
    <w:rsid w:val="00652F4D"/>
    <w:rsid w:val="00653557"/>
    <w:rsid w:val="0065434E"/>
    <w:rsid w:val="0065489D"/>
    <w:rsid w:val="00654AD1"/>
    <w:rsid w:val="00654DAD"/>
    <w:rsid w:val="006613DF"/>
    <w:rsid w:val="00661480"/>
    <w:rsid w:val="006629EF"/>
    <w:rsid w:val="00662D6E"/>
    <w:rsid w:val="00663399"/>
    <w:rsid w:val="006640BD"/>
    <w:rsid w:val="00664CB8"/>
    <w:rsid w:val="00664F7F"/>
    <w:rsid w:val="006659A2"/>
    <w:rsid w:val="00666314"/>
    <w:rsid w:val="0066668B"/>
    <w:rsid w:val="00666E28"/>
    <w:rsid w:val="0066714A"/>
    <w:rsid w:val="006679EB"/>
    <w:rsid w:val="006708B0"/>
    <w:rsid w:val="006708F0"/>
    <w:rsid w:val="006719FF"/>
    <w:rsid w:val="00671EB7"/>
    <w:rsid w:val="00672520"/>
    <w:rsid w:val="00672545"/>
    <w:rsid w:val="006728AA"/>
    <w:rsid w:val="00672F9E"/>
    <w:rsid w:val="00674205"/>
    <w:rsid w:val="00674C0B"/>
    <w:rsid w:val="00675445"/>
    <w:rsid w:val="00675CE9"/>
    <w:rsid w:val="00676229"/>
    <w:rsid w:val="00676830"/>
    <w:rsid w:val="006776D9"/>
    <w:rsid w:val="006776EA"/>
    <w:rsid w:val="006808F5"/>
    <w:rsid w:val="00682B7F"/>
    <w:rsid w:val="006838C2"/>
    <w:rsid w:val="00683AEA"/>
    <w:rsid w:val="00684284"/>
    <w:rsid w:val="006842B0"/>
    <w:rsid w:val="00684A84"/>
    <w:rsid w:val="00684F19"/>
    <w:rsid w:val="00685CBB"/>
    <w:rsid w:val="00685FC4"/>
    <w:rsid w:val="00686AA7"/>
    <w:rsid w:val="00686C1B"/>
    <w:rsid w:val="006906B9"/>
    <w:rsid w:val="0069112D"/>
    <w:rsid w:val="0069118D"/>
    <w:rsid w:val="0069185B"/>
    <w:rsid w:val="00691AF6"/>
    <w:rsid w:val="0069218A"/>
    <w:rsid w:val="00692352"/>
    <w:rsid w:val="00693383"/>
    <w:rsid w:val="00693FD0"/>
    <w:rsid w:val="0069584E"/>
    <w:rsid w:val="00696B17"/>
    <w:rsid w:val="00696DA1"/>
    <w:rsid w:val="0069753F"/>
    <w:rsid w:val="00697696"/>
    <w:rsid w:val="006977A2"/>
    <w:rsid w:val="006A018F"/>
    <w:rsid w:val="006A0E23"/>
    <w:rsid w:val="006A0F50"/>
    <w:rsid w:val="006A1590"/>
    <w:rsid w:val="006A2A69"/>
    <w:rsid w:val="006A2D86"/>
    <w:rsid w:val="006A39EC"/>
    <w:rsid w:val="006A483D"/>
    <w:rsid w:val="006A48D6"/>
    <w:rsid w:val="006A4F70"/>
    <w:rsid w:val="006A607A"/>
    <w:rsid w:val="006A6E87"/>
    <w:rsid w:val="006A7145"/>
    <w:rsid w:val="006A72CF"/>
    <w:rsid w:val="006A745C"/>
    <w:rsid w:val="006A7652"/>
    <w:rsid w:val="006B0AE1"/>
    <w:rsid w:val="006B0D94"/>
    <w:rsid w:val="006B1D6C"/>
    <w:rsid w:val="006B2339"/>
    <w:rsid w:val="006B2B2B"/>
    <w:rsid w:val="006B3B99"/>
    <w:rsid w:val="006B3DBF"/>
    <w:rsid w:val="006B430A"/>
    <w:rsid w:val="006B46CC"/>
    <w:rsid w:val="006B4AEE"/>
    <w:rsid w:val="006B4BB7"/>
    <w:rsid w:val="006B4DD0"/>
    <w:rsid w:val="006B51F2"/>
    <w:rsid w:val="006B5495"/>
    <w:rsid w:val="006B5794"/>
    <w:rsid w:val="006B66A8"/>
    <w:rsid w:val="006B688A"/>
    <w:rsid w:val="006B6BF6"/>
    <w:rsid w:val="006B7B3C"/>
    <w:rsid w:val="006C05A9"/>
    <w:rsid w:val="006C0926"/>
    <w:rsid w:val="006C0CEE"/>
    <w:rsid w:val="006C1575"/>
    <w:rsid w:val="006C1DC0"/>
    <w:rsid w:val="006C1FD3"/>
    <w:rsid w:val="006C2138"/>
    <w:rsid w:val="006C3091"/>
    <w:rsid w:val="006C4144"/>
    <w:rsid w:val="006C4173"/>
    <w:rsid w:val="006C530A"/>
    <w:rsid w:val="006C59E0"/>
    <w:rsid w:val="006C5D6F"/>
    <w:rsid w:val="006C5D9F"/>
    <w:rsid w:val="006C5FB9"/>
    <w:rsid w:val="006C6088"/>
    <w:rsid w:val="006C6884"/>
    <w:rsid w:val="006C7095"/>
    <w:rsid w:val="006C7554"/>
    <w:rsid w:val="006C7958"/>
    <w:rsid w:val="006D108A"/>
    <w:rsid w:val="006D1415"/>
    <w:rsid w:val="006D176A"/>
    <w:rsid w:val="006D19BA"/>
    <w:rsid w:val="006D3758"/>
    <w:rsid w:val="006D4139"/>
    <w:rsid w:val="006D449E"/>
    <w:rsid w:val="006D6AAE"/>
    <w:rsid w:val="006D7A9D"/>
    <w:rsid w:val="006D7B84"/>
    <w:rsid w:val="006D7E76"/>
    <w:rsid w:val="006E039F"/>
    <w:rsid w:val="006E133C"/>
    <w:rsid w:val="006E1A35"/>
    <w:rsid w:val="006E1D8D"/>
    <w:rsid w:val="006E39E9"/>
    <w:rsid w:val="006E3B48"/>
    <w:rsid w:val="006E3CF5"/>
    <w:rsid w:val="006E4E53"/>
    <w:rsid w:val="006E4F0D"/>
    <w:rsid w:val="006E533D"/>
    <w:rsid w:val="006E551F"/>
    <w:rsid w:val="006E580E"/>
    <w:rsid w:val="006E5C2F"/>
    <w:rsid w:val="006E5FAC"/>
    <w:rsid w:val="006E751D"/>
    <w:rsid w:val="006E7A55"/>
    <w:rsid w:val="006E7F0D"/>
    <w:rsid w:val="006F0A5D"/>
    <w:rsid w:val="006F0C9B"/>
    <w:rsid w:val="006F0FED"/>
    <w:rsid w:val="006F1775"/>
    <w:rsid w:val="006F1A5E"/>
    <w:rsid w:val="006F20F1"/>
    <w:rsid w:val="006F2BD1"/>
    <w:rsid w:val="006F300B"/>
    <w:rsid w:val="006F304C"/>
    <w:rsid w:val="006F31DB"/>
    <w:rsid w:val="006F3311"/>
    <w:rsid w:val="006F38A6"/>
    <w:rsid w:val="006F4CA9"/>
    <w:rsid w:val="006F569F"/>
    <w:rsid w:val="006F5950"/>
    <w:rsid w:val="006F6128"/>
    <w:rsid w:val="006F659D"/>
    <w:rsid w:val="006F66A2"/>
    <w:rsid w:val="006F6A52"/>
    <w:rsid w:val="006F6AE0"/>
    <w:rsid w:val="006F6B55"/>
    <w:rsid w:val="006F6FC2"/>
    <w:rsid w:val="006F7156"/>
    <w:rsid w:val="006F74B5"/>
    <w:rsid w:val="006F7C0B"/>
    <w:rsid w:val="006F7F6C"/>
    <w:rsid w:val="0070124F"/>
    <w:rsid w:val="00701A29"/>
    <w:rsid w:val="007029DC"/>
    <w:rsid w:val="00703CD8"/>
    <w:rsid w:val="00704307"/>
    <w:rsid w:val="007047E6"/>
    <w:rsid w:val="00704843"/>
    <w:rsid w:val="007054CD"/>
    <w:rsid w:val="007060EC"/>
    <w:rsid w:val="0070640C"/>
    <w:rsid w:val="0070689C"/>
    <w:rsid w:val="00706EA8"/>
    <w:rsid w:val="00707879"/>
    <w:rsid w:val="00707E01"/>
    <w:rsid w:val="00707FFD"/>
    <w:rsid w:val="00711278"/>
    <w:rsid w:val="00711703"/>
    <w:rsid w:val="00711C4B"/>
    <w:rsid w:val="00712084"/>
    <w:rsid w:val="00712231"/>
    <w:rsid w:val="007134AA"/>
    <w:rsid w:val="00713FC1"/>
    <w:rsid w:val="007148FD"/>
    <w:rsid w:val="007152E3"/>
    <w:rsid w:val="00716A6C"/>
    <w:rsid w:val="00716CCC"/>
    <w:rsid w:val="00716DB0"/>
    <w:rsid w:val="00716E69"/>
    <w:rsid w:val="007171FD"/>
    <w:rsid w:val="00717225"/>
    <w:rsid w:val="00717A22"/>
    <w:rsid w:val="00720128"/>
    <w:rsid w:val="007201C3"/>
    <w:rsid w:val="00720B41"/>
    <w:rsid w:val="0072206A"/>
    <w:rsid w:val="00723142"/>
    <w:rsid w:val="00723271"/>
    <w:rsid w:val="00725221"/>
    <w:rsid w:val="0072536C"/>
    <w:rsid w:val="00725B49"/>
    <w:rsid w:val="007266C1"/>
    <w:rsid w:val="00726D38"/>
    <w:rsid w:val="00726E61"/>
    <w:rsid w:val="00727520"/>
    <w:rsid w:val="0073071F"/>
    <w:rsid w:val="00730CD7"/>
    <w:rsid w:val="00731AF6"/>
    <w:rsid w:val="00731D0B"/>
    <w:rsid w:val="00732C07"/>
    <w:rsid w:val="00733B6E"/>
    <w:rsid w:val="0073436D"/>
    <w:rsid w:val="007343A1"/>
    <w:rsid w:val="00734BCE"/>
    <w:rsid w:val="00734BE4"/>
    <w:rsid w:val="00734E1E"/>
    <w:rsid w:val="00735654"/>
    <w:rsid w:val="00735AE0"/>
    <w:rsid w:val="00735F4E"/>
    <w:rsid w:val="00736AFA"/>
    <w:rsid w:val="00736FF7"/>
    <w:rsid w:val="00737638"/>
    <w:rsid w:val="00737BBF"/>
    <w:rsid w:val="00737E55"/>
    <w:rsid w:val="0074077F"/>
    <w:rsid w:val="0074092D"/>
    <w:rsid w:val="00740A34"/>
    <w:rsid w:val="007415FD"/>
    <w:rsid w:val="00741956"/>
    <w:rsid w:val="00742197"/>
    <w:rsid w:val="007426D5"/>
    <w:rsid w:val="00742966"/>
    <w:rsid w:val="007438C3"/>
    <w:rsid w:val="00744ACC"/>
    <w:rsid w:val="00744B63"/>
    <w:rsid w:val="00744D15"/>
    <w:rsid w:val="00744EDD"/>
    <w:rsid w:val="007460C4"/>
    <w:rsid w:val="00746D2B"/>
    <w:rsid w:val="00747014"/>
    <w:rsid w:val="00747E8A"/>
    <w:rsid w:val="00751843"/>
    <w:rsid w:val="0075291D"/>
    <w:rsid w:val="00752954"/>
    <w:rsid w:val="007529D5"/>
    <w:rsid w:val="00752A77"/>
    <w:rsid w:val="00752AF3"/>
    <w:rsid w:val="00752E38"/>
    <w:rsid w:val="0075348A"/>
    <w:rsid w:val="00753EE9"/>
    <w:rsid w:val="00754584"/>
    <w:rsid w:val="00754B4D"/>
    <w:rsid w:val="0075500D"/>
    <w:rsid w:val="007552A3"/>
    <w:rsid w:val="00756FAB"/>
    <w:rsid w:val="00760394"/>
    <w:rsid w:val="00762248"/>
    <w:rsid w:val="007643BC"/>
    <w:rsid w:val="007652F0"/>
    <w:rsid w:val="007659FB"/>
    <w:rsid w:val="0076651F"/>
    <w:rsid w:val="007666BD"/>
    <w:rsid w:val="00766A52"/>
    <w:rsid w:val="00766D3C"/>
    <w:rsid w:val="00770048"/>
    <w:rsid w:val="0077038C"/>
    <w:rsid w:val="007706BD"/>
    <w:rsid w:val="007709EC"/>
    <w:rsid w:val="007713FE"/>
    <w:rsid w:val="0077360C"/>
    <w:rsid w:val="00773682"/>
    <w:rsid w:val="00774547"/>
    <w:rsid w:val="00774BDF"/>
    <w:rsid w:val="007750F8"/>
    <w:rsid w:val="007751FB"/>
    <w:rsid w:val="00775298"/>
    <w:rsid w:val="007761E8"/>
    <w:rsid w:val="007771AA"/>
    <w:rsid w:val="0077782D"/>
    <w:rsid w:val="007779BA"/>
    <w:rsid w:val="00777EA4"/>
    <w:rsid w:val="00777F69"/>
    <w:rsid w:val="00781557"/>
    <w:rsid w:val="00781ADB"/>
    <w:rsid w:val="0078229C"/>
    <w:rsid w:val="007822CA"/>
    <w:rsid w:val="00782C53"/>
    <w:rsid w:val="00782D08"/>
    <w:rsid w:val="00784089"/>
    <w:rsid w:val="00785483"/>
    <w:rsid w:val="007859DD"/>
    <w:rsid w:val="00785DEB"/>
    <w:rsid w:val="007869E6"/>
    <w:rsid w:val="007872D3"/>
    <w:rsid w:val="007875D5"/>
    <w:rsid w:val="00787AAA"/>
    <w:rsid w:val="00790781"/>
    <w:rsid w:val="00790C80"/>
    <w:rsid w:val="0079145E"/>
    <w:rsid w:val="007915C8"/>
    <w:rsid w:val="007917DC"/>
    <w:rsid w:val="00792432"/>
    <w:rsid w:val="00792F04"/>
    <w:rsid w:val="00793203"/>
    <w:rsid w:val="00793840"/>
    <w:rsid w:val="00794365"/>
    <w:rsid w:val="00795063"/>
    <w:rsid w:val="007950CF"/>
    <w:rsid w:val="0079639E"/>
    <w:rsid w:val="00796AC4"/>
    <w:rsid w:val="007A02A8"/>
    <w:rsid w:val="007A2196"/>
    <w:rsid w:val="007A35F5"/>
    <w:rsid w:val="007A3CF2"/>
    <w:rsid w:val="007A4339"/>
    <w:rsid w:val="007A4993"/>
    <w:rsid w:val="007A4D14"/>
    <w:rsid w:val="007A5069"/>
    <w:rsid w:val="007A5460"/>
    <w:rsid w:val="007A57FA"/>
    <w:rsid w:val="007A69EF"/>
    <w:rsid w:val="007A6A06"/>
    <w:rsid w:val="007A77AC"/>
    <w:rsid w:val="007B07F4"/>
    <w:rsid w:val="007B11ED"/>
    <w:rsid w:val="007B1DBE"/>
    <w:rsid w:val="007B1EB7"/>
    <w:rsid w:val="007B207A"/>
    <w:rsid w:val="007B3EB9"/>
    <w:rsid w:val="007B42F9"/>
    <w:rsid w:val="007B50CD"/>
    <w:rsid w:val="007B55AA"/>
    <w:rsid w:val="007B64BB"/>
    <w:rsid w:val="007B7851"/>
    <w:rsid w:val="007B796F"/>
    <w:rsid w:val="007C0E72"/>
    <w:rsid w:val="007C0FF4"/>
    <w:rsid w:val="007C151A"/>
    <w:rsid w:val="007C181A"/>
    <w:rsid w:val="007C1D18"/>
    <w:rsid w:val="007C24F4"/>
    <w:rsid w:val="007C2A9B"/>
    <w:rsid w:val="007C3218"/>
    <w:rsid w:val="007C5133"/>
    <w:rsid w:val="007C5234"/>
    <w:rsid w:val="007C5593"/>
    <w:rsid w:val="007C590F"/>
    <w:rsid w:val="007C62B2"/>
    <w:rsid w:val="007C66CB"/>
    <w:rsid w:val="007C75C9"/>
    <w:rsid w:val="007C78B6"/>
    <w:rsid w:val="007C7BEC"/>
    <w:rsid w:val="007D0280"/>
    <w:rsid w:val="007D0636"/>
    <w:rsid w:val="007D10D6"/>
    <w:rsid w:val="007D1BCD"/>
    <w:rsid w:val="007D1D62"/>
    <w:rsid w:val="007D23A5"/>
    <w:rsid w:val="007D35DE"/>
    <w:rsid w:val="007D3AEF"/>
    <w:rsid w:val="007D46A0"/>
    <w:rsid w:val="007D4ACF"/>
    <w:rsid w:val="007D6493"/>
    <w:rsid w:val="007D6BD2"/>
    <w:rsid w:val="007D7071"/>
    <w:rsid w:val="007D7E43"/>
    <w:rsid w:val="007E021A"/>
    <w:rsid w:val="007E13F0"/>
    <w:rsid w:val="007E1DEC"/>
    <w:rsid w:val="007E2FA9"/>
    <w:rsid w:val="007E3C81"/>
    <w:rsid w:val="007E43FF"/>
    <w:rsid w:val="007E45C2"/>
    <w:rsid w:val="007E48E7"/>
    <w:rsid w:val="007E5822"/>
    <w:rsid w:val="007E6028"/>
    <w:rsid w:val="007E7728"/>
    <w:rsid w:val="007E7DE3"/>
    <w:rsid w:val="007E7E46"/>
    <w:rsid w:val="007F054D"/>
    <w:rsid w:val="007F070F"/>
    <w:rsid w:val="007F083C"/>
    <w:rsid w:val="007F0871"/>
    <w:rsid w:val="007F0B89"/>
    <w:rsid w:val="007F13D8"/>
    <w:rsid w:val="007F1A49"/>
    <w:rsid w:val="007F1AC4"/>
    <w:rsid w:val="007F21DC"/>
    <w:rsid w:val="007F2DFD"/>
    <w:rsid w:val="007F2EF9"/>
    <w:rsid w:val="007F332C"/>
    <w:rsid w:val="007F3DE6"/>
    <w:rsid w:val="007F45F9"/>
    <w:rsid w:val="007F5BFD"/>
    <w:rsid w:val="007F6ECF"/>
    <w:rsid w:val="007F7D85"/>
    <w:rsid w:val="0080014B"/>
    <w:rsid w:val="00800DFC"/>
    <w:rsid w:val="0080126D"/>
    <w:rsid w:val="00801330"/>
    <w:rsid w:val="008013D3"/>
    <w:rsid w:val="008016B7"/>
    <w:rsid w:val="0080182E"/>
    <w:rsid w:val="00801A95"/>
    <w:rsid w:val="008022F7"/>
    <w:rsid w:val="008046AD"/>
    <w:rsid w:val="008074F6"/>
    <w:rsid w:val="0081234F"/>
    <w:rsid w:val="00812390"/>
    <w:rsid w:val="0081252D"/>
    <w:rsid w:val="008126D6"/>
    <w:rsid w:val="00812C5D"/>
    <w:rsid w:val="00813016"/>
    <w:rsid w:val="0081368D"/>
    <w:rsid w:val="00813D14"/>
    <w:rsid w:val="00814371"/>
    <w:rsid w:val="00814DB7"/>
    <w:rsid w:val="00815AD6"/>
    <w:rsid w:val="00815C57"/>
    <w:rsid w:val="00815E22"/>
    <w:rsid w:val="00815E5B"/>
    <w:rsid w:val="00815F77"/>
    <w:rsid w:val="00816CD7"/>
    <w:rsid w:val="00817AF4"/>
    <w:rsid w:val="00820819"/>
    <w:rsid w:val="008222B1"/>
    <w:rsid w:val="00822C67"/>
    <w:rsid w:val="00822E7F"/>
    <w:rsid w:val="0082359E"/>
    <w:rsid w:val="00823F78"/>
    <w:rsid w:val="00825067"/>
    <w:rsid w:val="0082627D"/>
    <w:rsid w:val="008263C1"/>
    <w:rsid w:val="008265B3"/>
    <w:rsid w:val="008306F3"/>
    <w:rsid w:val="00830875"/>
    <w:rsid w:val="0083088F"/>
    <w:rsid w:val="00831A91"/>
    <w:rsid w:val="00831B29"/>
    <w:rsid w:val="00832078"/>
    <w:rsid w:val="008323A3"/>
    <w:rsid w:val="008323E7"/>
    <w:rsid w:val="00832F47"/>
    <w:rsid w:val="00833B30"/>
    <w:rsid w:val="00835128"/>
    <w:rsid w:val="00836821"/>
    <w:rsid w:val="00836E80"/>
    <w:rsid w:val="008375BC"/>
    <w:rsid w:val="00837DBE"/>
    <w:rsid w:val="00840B69"/>
    <w:rsid w:val="00840D6C"/>
    <w:rsid w:val="008419F3"/>
    <w:rsid w:val="0084264C"/>
    <w:rsid w:val="00842BD8"/>
    <w:rsid w:val="00842F91"/>
    <w:rsid w:val="008430F0"/>
    <w:rsid w:val="0084376F"/>
    <w:rsid w:val="0084379A"/>
    <w:rsid w:val="00844AB3"/>
    <w:rsid w:val="00845762"/>
    <w:rsid w:val="008459A8"/>
    <w:rsid w:val="00845B6F"/>
    <w:rsid w:val="0084631B"/>
    <w:rsid w:val="0084636A"/>
    <w:rsid w:val="00846A17"/>
    <w:rsid w:val="008471ED"/>
    <w:rsid w:val="008474EA"/>
    <w:rsid w:val="00847839"/>
    <w:rsid w:val="0085093F"/>
    <w:rsid w:val="00850B1D"/>
    <w:rsid w:val="00850D3E"/>
    <w:rsid w:val="008517C6"/>
    <w:rsid w:val="0085185E"/>
    <w:rsid w:val="00852A5C"/>
    <w:rsid w:val="00853457"/>
    <w:rsid w:val="008559EB"/>
    <w:rsid w:val="00855FA1"/>
    <w:rsid w:val="00856ACE"/>
    <w:rsid w:val="00856F7C"/>
    <w:rsid w:val="00856FDB"/>
    <w:rsid w:val="008571F2"/>
    <w:rsid w:val="00857F00"/>
    <w:rsid w:val="00860030"/>
    <w:rsid w:val="00860967"/>
    <w:rsid w:val="00860E2F"/>
    <w:rsid w:val="00861F70"/>
    <w:rsid w:val="008636F5"/>
    <w:rsid w:val="00863808"/>
    <w:rsid w:val="00864544"/>
    <w:rsid w:val="00864ABA"/>
    <w:rsid w:val="00864E63"/>
    <w:rsid w:val="008651A4"/>
    <w:rsid w:val="0086678F"/>
    <w:rsid w:val="00870881"/>
    <w:rsid w:val="00870F8C"/>
    <w:rsid w:val="008716C7"/>
    <w:rsid w:val="008729B8"/>
    <w:rsid w:val="00872D82"/>
    <w:rsid w:val="00873EF4"/>
    <w:rsid w:val="0087440A"/>
    <w:rsid w:val="008748D9"/>
    <w:rsid w:val="00874B4B"/>
    <w:rsid w:val="00874B8C"/>
    <w:rsid w:val="00874C35"/>
    <w:rsid w:val="00874D7E"/>
    <w:rsid w:val="00875FA0"/>
    <w:rsid w:val="00876912"/>
    <w:rsid w:val="00876CA7"/>
    <w:rsid w:val="0087713B"/>
    <w:rsid w:val="008778E6"/>
    <w:rsid w:val="008778FF"/>
    <w:rsid w:val="00877B7E"/>
    <w:rsid w:val="00877D04"/>
    <w:rsid w:val="00877D5F"/>
    <w:rsid w:val="008803E3"/>
    <w:rsid w:val="008809B1"/>
    <w:rsid w:val="00880D9F"/>
    <w:rsid w:val="0088105F"/>
    <w:rsid w:val="00881493"/>
    <w:rsid w:val="008822EA"/>
    <w:rsid w:val="008838B0"/>
    <w:rsid w:val="00883EA9"/>
    <w:rsid w:val="00884197"/>
    <w:rsid w:val="008842C2"/>
    <w:rsid w:val="00884818"/>
    <w:rsid w:val="00884DB0"/>
    <w:rsid w:val="00884FD7"/>
    <w:rsid w:val="00886BEF"/>
    <w:rsid w:val="00887677"/>
    <w:rsid w:val="008900E0"/>
    <w:rsid w:val="008913D6"/>
    <w:rsid w:val="00891CE9"/>
    <w:rsid w:val="00892C69"/>
    <w:rsid w:val="00893892"/>
    <w:rsid w:val="00893BFE"/>
    <w:rsid w:val="008941B6"/>
    <w:rsid w:val="00894262"/>
    <w:rsid w:val="00894C82"/>
    <w:rsid w:val="00894D4A"/>
    <w:rsid w:val="008954A2"/>
    <w:rsid w:val="00895920"/>
    <w:rsid w:val="00896169"/>
    <w:rsid w:val="008963D4"/>
    <w:rsid w:val="008973C7"/>
    <w:rsid w:val="008978B5"/>
    <w:rsid w:val="008A0CE8"/>
    <w:rsid w:val="008A1607"/>
    <w:rsid w:val="008A1845"/>
    <w:rsid w:val="008A215A"/>
    <w:rsid w:val="008A221C"/>
    <w:rsid w:val="008A3C9C"/>
    <w:rsid w:val="008A459C"/>
    <w:rsid w:val="008A45D2"/>
    <w:rsid w:val="008A670B"/>
    <w:rsid w:val="008A6DD1"/>
    <w:rsid w:val="008B0178"/>
    <w:rsid w:val="008B1722"/>
    <w:rsid w:val="008B1EDE"/>
    <w:rsid w:val="008B2158"/>
    <w:rsid w:val="008B303D"/>
    <w:rsid w:val="008B3404"/>
    <w:rsid w:val="008B42B8"/>
    <w:rsid w:val="008B6F11"/>
    <w:rsid w:val="008B789D"/>
    <w:rsid w:val="008B7E01"/>
    <w:rsid w:val="008C03C1"/>
    <w:rsid w:val="008C07A3"/>
    <w:rsid w:val="008C0C36"/>
    <w:rsid w:val="008C11DF"/>
    <w:rsid w:val="008C1311"/>
    <w:rsid w:val="008C19A0"/>
    <w:rsid w:val="008C2132"/>
    <w:rsid w:val="008C2A09"/>
    <w:rsid w:val="008C2E6C"/>
    <w:rsid w:val="008C3989"/>
    <w:rsid w:val="008C3A2A"/>
    <w:rsid w:val="008C48DA"/>
    <w:rsid w:val="008C4AC4"/>
    <w:rsid w:val="008C4EA1"/>
    <w:rsid w:val="008C4ED1"/>
    <w:rsid w:val="008C56A1"/>
    <w:rsid w:val="008C6EF4"/>
    <w:rsid w:val="008C7097"/>
    <w:rsid w:val="008C773D"/>
    <w:rsid w:val="008C7CF6"/>
    <w:rsid w:val="008D090E"/>
    <w:rsid w:val="008D135E"/>
    <w:rsid w:val="008D1D71"/>
    <w:rsid w:val="008D27EB"/>
    <w:rsid w:val="008D2EE5"/>
    <w:rsid w:val="008D384B"/>
    <w:rsid w:val="008D3C6B"/>
    <w:rsid w:val="008D4128"/>
    <w:rsid w:val="008D42AC"/>
    <w:rsid w:val="008D43CE"/>
    <w:rsid w:val="008D499A"/>
    <w:rsid w:val="008D5AA8"/>
    <w:rsid w:val="008D5EBD"/>
    <w:rsid w:val="008D623B"/>
    <w:rsid w:val="008D68B0"/>
    <w:rsid w:val="008D68CD"/>
    <w:rsid w:val="008D7083"/>
    <w:rsid w:val="008D758D"/>
    <w:rsid w:val="008D7F0E"/>
    <w:rsid w:val="008E0307"/>
    <w:rsid w:val="008E080D"/>
    <w:rsid w:val="008E093F"/>
    <w:rsid w:val="008E1239"/>
    <w:rsid w:val="008E1BBA"/>
    <w:rsid w:val="008E20DF"/>
    <w:rsid w:val="008E264E"/>
    <w:rsid w:val="008E27AB"/>
    <w:rsid w:val="008E27DD"/>
    <w:rsid w:val="008E3475"/>
    <w:rsid w:val="008E3656"/>
    <w:rsid w:val="008E403C"/>
    <w:rsid w:val="008E43BE"/>
    <w:rsid w:val="008E4D6B"/>
    <w:rsid w:val="008E524A"/>
    <w:rsid w:val="008E5C8A"/>
    <w:rsid w:val="008E781B"/>
    <w:rsid w:val="008E7EC1"/>
    <w:rsid w:val="008F0204"/>
    <w:rsid w:val="008F070B"/>
    <w:rsid w:val="008F0D35"/>
    <w:rsid w:val="008F1D9B"/>
    <w:rsid w:val="008F2799"/>
    <w:rsid w:val="008F2B08"/>
    <w:rsid w:val="008F30D8"/>
    <w:rsid w:val="008F389D"/>
    <w:rsid w:val="008F47C6"/>
    <w:rsid w:val="008F49E9"/>
    <w:rsid w:val="008F52AB"/>
    <w:rsid w:val="008F586A"/>
    <w:rsid w:val="008F5D4D"/>
    <w:rsid w:val="008F76B4"/>
    <w:rsid w:val="008F7969"/>
    <w:rsid w:val="008F7A21"/>
    <w:rsid w:val="00900463"/>
    <w:rsid w:val="00900E92"/>
    <w:rsid w:val="0090169C"/>
    <w:rsid w:val="00902523"/>
    <w:rsid w:val="009025FA"/>
    <w:rsid w:val="009031D5"/>
    <w:rsid w:val="00903249"/>
    <w:rsid w:val="009041D5"/>
    <w:rsid w:val="00904FCD"/>
    <w:rsid w:val="009050B5"/>
    <w:rsid w:val="00905311"/>
    <w:rsid w:val="00905982"/>
    <w:rsid w:val="00905A7D"/>
    <w:rsid w:val="009060F6"/>
    <w:rsid w:val="00906412"/>
    <w:rsid w:val="009064C9"/>
    <w:rsid w:val="009071B8"/>
    <w:rsid w:val="009071BB"/>
    <w:rsid w:val="00907E34"/>
    <w:rsid w:val="009103B5"/>
    <w:rsid w:val="00910B22"/>
    <w:rsid w:val="00912716"/>
    <w:rsid w:val="00912A28"/>
    <w:rsid w:val="009147EC"/>
    <w:rsid w:val="00914D31"/>
    <w:rsid w:val="009151B1"/>
    <w:rsid w:val="00915ADA"/>
    <w:rsid w:val="00915BF5"/>
    <w:rsid w:val="00915CE6"/>
    <w:rsid w:val="0091603E"/>
    <w:rsid w:val="00917816"/>
    <w:rsid w:val="00917885"/>
    <w:rsid w:val="0091788A"/>
    <w:rsid w:val="00921431"/>
    <w:rsid w:val="009215F8"/>
    <w:rsid w:val="009217BD"/>
    <w:rsid w:val="009224CB"/>
    <w:rsid w:val="009236A0"/>
    <w:rsid w:val="00923EFA"/>
    <w:rsid w:val="0092458B"/>
    <w:rsid w:val="009252D3"/>
    <w:rsid w:val="009256F5"/>
    <w:rsid w:val="009264AA"/>
    <w:rsid w:val="009265D8"/>
    <w:rsid w:val="00926729"/>
    <w:rsid w:val="00926A44"/>
    <w:rsid w:val="00927036"/>
    <w:rsid w:val="00927B9D"/>
    <w:rsid w:val="00930414"/>
    <w:rsid w:val="00930C06"/>
    <w:rsid w:val="009310E4"/>
    <w:rsid w:val="00932793"/>
    <w:rsid w:val="009327C6"/>
    <w:rsid w:val="00932977"/>
    <w:rsid w:val="0093325B"/>
    <w:rsid w:val="00933D7A"/>
    <w:rsid w:val="00934F7B"/>
    <w:rsid w:val="0093553B"/>
    <w:rsid w:val="009361FF"/>
    <w:rsid w:val="00936573"/>
    <w:rsid w:val="009369CE"/>
    <w:rsid w:val="009370DD"/>
    <w:rsid w:val="009378C9"/>
    <w:rsid w:val="00937D86"/>
    <w:rsid w:val="009400B4"/>
    <w:rsid w:val="0094029D"/>
    <w:rsid w:val="009402C5"/>
    <w:rsid w:val="00940894"/>
    <w:rsid w:val="00940952"/>
    <w:rsid w:val="009409CB"/>
    <w:rsid w:val="009417FE"/>
    <w:rsid w:val="0094183D"/>
    <w:rsid w:val="0094353B"/>
    <w:rsid w:val="009446ED"/>
    <w:rsid w:val="00944D68"/>
    <w:rsid w:val="009450EE"/>
    <w:rsid w:val="009456FA"/>
    <w:rsid w:val="00945B1D"/>
    <w:rsid w:val="00945B4D"/>
    <w:rsid w:val="0094601E"/>
    <w:rsid w:val="00946F68"/>
    <w:rsid w:val="00947061"/>
    <w:rsid w:val="0094757B"/>
    <w:rsid w:val="00947B90"/>
    <w:rsid w:val="00950519"/>
    <w:rsid w:val="0095072F"/>
    <w:rsid w:val="009512C4"/>
    <w:rsid w:val="00951502"/>
    <w:rsid w:val="00951551"/>
    <w:rsid w:val="00951A9E"/>
    <w:rsid w:val="00951D37"/>
    <w:rsid w:val="009525D7"/>
    <w:rsid w:val="009539FF"/>
    <w:rsid w:val="009543E1"/>
    <w:rsid w:val="00954458"/>
    <w:rsid w:val="0095542F"/>
    <w:rsid w:val="00955988"/>
    <w:rsid w:val="00957860"/>
    <w:rsid w:val="00957EE4"/>
    <w:rsid w:val="00957F6F"/>
    <w:rsid w:val="00960965"/>
    <w:rsid w:val="009629F9"/>
    <w:rsid w:val="009632C2"/>
    <w:rsid w:val="00963664"/>
    <w:rsid w:val="009639D1"/>
    <w:rsid w:val="009640C9"/>
    <w:rsid w:val="0096413A"/>
    <w:rsid w:val="009643A0"/>
    <w:rsid w:val="0096649E"/>
    <w:rsid w:val="00966860"/>
    <w:rsid w:val="00966B76"/>
    <w:rsid w:val="00966E53"/>
    <w:rsid w:val="0096709B"/>
    <w:rsid w:val="00967317"/>
    <w:rsid w:val="00967734"/>
    <w:rsid w:val="00971148"/>
    <w:rsid w:val="00971260"/>
    <w:rsid w:val="00972675"/>
    <w:rsid w:val="009735E4"/>
    <w:rsid w:val="00973886"/>
    <w:rsid w:val="009740FC"/>
    <w:rsid w:val="00974942"/>
    <w:rsid w:val="00974F13"/>
    <w:rsid w:val="009752D1"/>
    <w:rsid w:val="00975C28"/>
    <w:rsid w:val="009774C8"/>
    <w:rsid w:val="00980006"/>
    <w:rsid w:val="0098067D"/>
    <w:rsid w:val="009808B2"/>
    <w:rsid w:val="00980C77"/>
    <w:rsid w:val="009810DC"/>
    <w:rsid w:val="0098141A"/>
    <w:rsid w:val="00982601"/>
    <w:rsid w:val="00982BD9"/>
    <w:rsid w:val="0098388A"/>
    <w:rsid w:val="00983E8D"/>
    <w:rsid w:val="009848F8"/>
    <w:rsid w:val="00984B9A"/>
    <w:rsid w:val="00984DF0"/>
    <w:rsid w:val="00985A6B"/>
    <w:rsid w:val="00985E61"/>
    <w:rsid w:val="00987603"/>
    <w:rsid w:val="00987A17"/>
    <w:rsid w:val="00990049"/>
    <w:rsid w:val="009901C8"/>
    <w:rsid w:val="00991244"/>
    <w:rsid w:val="00991782"/>
    <w:rsid w:val="00993AF7"/>
    <w:rsid w:val="00994986"/>
    <w:rsid w:val="00994AC2"/>
    <w:rsid w:val="00994AF8"/>
    <w:rsid w:val="00994D49"/>
    <w:rsid w:val="009956E6"/>
    <w:rsid w:val="00996890"/>
    <w:rsid w:val="00996BE8"/>
    <w:rsid w:val="00996C49"/>
    <w:rsid w:val="00996FF6"/>
    <w:rsid w:val="00997F2A"/>
    <w:rsid w:val="009A06EA"/>
    <w:rsid w:val="009A0B55"/>
    <w:rsid w:val="009A0C20"/>
    <w:rsid w:val="009A11BF"/>
    <w:rsid w:val="009A2C43"/>
    <w:rsid w:val="009A35BB"/>
    <w:rsid w:val="009A5469"/>
    <w:rsid w:val="009A595F"/>
    <w:rsid w:val="009A59DC"/>
    <w:rsid w:val="009A5B37"/>
    <w:rsid w:val="009A6DB1"/>
    <w:rsid w:val="009A6F2D"/>
    <w:rsid w:val="009A6F8B"/>
    <w:rsid w:val="009A6FA4"/>
    <w:rsid w:val="009A7F46"/>
    <w:rsid w:val="009B01F4"/>
    <w:rsid w:val="009B0D17"/>
    <w:rsid w:val="009B1043"/>
    <w:rsid w:val="009B2646"/>
    <w:rsid w:val="009B2848"/>
    <w:rsid w:val="009B302F"/>
    <w:rsid w:val="009B3293"/>
    <w:rsid w:val="009B35AE"/>
    <w:rsid w:val="009B38B4"/>
    <w:rsid w:val="009B5321"/>
    <w:rsid w:val="009B5857"/>
    <w:rsid w:val="009B58D6"/>
    <w:rsid w:val="009B5B96"/>
    <w:rsid w:val="009B701C"/>
    <w:rsid w:val="009B73A3"/>
    <w:rsid w:val="009B790B"/>
    <w:rsid w:val="009B7EEA"/>
    <w:rsid w:val="009C0B00"/>
    <w:rsid w:val="009C132C"/>
    <w:rsid w:val="009C280C"/>
    <w:rsid w:val="009C33F6"/>
    <w:rsid w:val="009C3692"/>
    <w:rsid w:val="009C3AAF"/>
    <w:rsid w:val="009C40B5"/>
    <w:rsid w:val="009C4151"/>
    <w:rsid w:val="009C42DC"/>
    <w:rsid w:val="009C496F"/>
    <w:rsid w:val="009C4AFF"/>
    <w:rsid w:val="009C5250"/>
    <w:rsid w:val="009C57CC"/>
    <w:rsid w:val="009C5A38"/>
    <w:rsid w:val="009C5B9D"/>
    <w:rsid w:val="009C65D6"/>
    <w:rsid w:val="009D16AE"/>
    <w:rsid w:val="009D1D86"/>
    <w:rsid w:val="009D290D"/>
    <w:rsid w:val="009D29D2"/>
    <w:rsid w:val="009D2BDB"/>
    <w:rsid w:val="009D3120"/>
    <w:rsid w:val="009D55F5"/>
    <w:rsid w:val="009D59A3"/>
    <w:rsid w:val="009D6157"/>
    <w:rsid w:val="009D62A8"/>
    <w:rsid w:val="009D633C"/>
    <w:rsid w:val="009D761F"/>
    <w:rsid w:val="009D7A06"/>
    <w:rsid w:val="009E0478"/>
    <w:rsid w:val="009E06D9"/>
    <w:rsid w:val="009E07CB"/>
    <w:rsid w:val="009E0820"/>
    <w:rsid w:val="009E186A"/>
    <w:rsid w:val="009E1D5F"/>
    <w:rsid w:val="009E2302"/>
    <w:rsid w:val="009E24A3"/>
    <w:rsid w:val="009E27EE"/>
    <w:rsid w:val="009E2866"/>
    <w:rsid w:val="009E2955"/>
    <w:rsid w:val="009E2973"/>
    <w:rsid w:val="009E29D5"/>
    <w:rsid w:val="009E2B85"/>
    <w:rsid w:val="009E3AFC"/>
    <w:rsid w:val="009E3DFD"/>
    <w:rsid w:val="009E4A6D"/>
    <w:rsid w:val="009E4CE9"/>
    <w:rsid w:val="009E5F50"/>
    <w:rsid w:val="009E62D2"/>
    <w:rsid w:val="009E6493"/>
    <w:rsid w:val="009E691B"/>
    <w:rsid w:val="009E6B05"/>
    <w:rsid w:val="009E6B45"/>
    <w:rsid w:val="009E6D9E"/>
    <w:rsid w:val="009E6E48"/>
    <w:rsid w:val="009E7052"/>
    <w:rsid w:val="009E7123"/>
    <w:rsid w:val="009F149B"/>
    <w:rsid w:val="009F224E"/>
    <w:rsid w:val="009F24B3"/>
    <w:rsid w:val="009F4B03"/>
    <w:rsid w:val="009F63A5"/>
    <w:rsid w:val="009F647A"/>
    <w:rsid w:val="009F6FBE"/>
    <w:rsid w:val="009F71E7"/>
    <w:rsid w:val="009F76F0"/>
    <w:rsid w:val="00A01828"/>
    <w:rsid w:val="00A018BB"/>
    <w:rsid w:val="00A0230E"/>
    <w:rsid w:val="00A035E4"/>
    <w:rsid w:val="00A03EF4"/>
    <w:rsid w:val="00A0411E"/>
    <w:rsid w:val="00A04309"/>
    <w:rsid w:val="00A04570"/>
    <w:rsid w:val="00A04955"/>
    <w:rsid w:val="00A05CC8"/>
    <w:rsid w:val="00A068DA"/>
    <w:rsid w:val="00A074E1"/>
    <w:rsid w:val="00A075A9"/>
    <w:rsid w:val="00A10783"/>
    <w:rsid w:val="00A10EF2"/>
    <w:rsid w:val="00A10F17"/>
    <w:rsid w:val="00A11093"/>
    <w:rsid w:val="00A1111E"/>
    <w:rsid w:val="00A11F95"/>
    <w:rsid w:val="00A128A8"/>
    <w:rsid w:val="00A13B65"/>
    <w:rsid w:val="00A13D0E"/>
    <w:rsid w:val="00A14F0C"/>
    <w:rsid w:val="00A15233"/>
    <w:rsid w:val="00A16C09"/>
    <w:rsid w:val="00A178EE"/>
    <w:rsid w:val="00A17D51"/>
    <w:rsid w:val="00A17DE2"/>
    <w:rsid w:val="00A17EC6"/>
    <w:rsid w:val="00A20017"/>
    <w:rsid w:val="00A2065E"/>
    <w:rsid w:val="00A2099E"/>
    <w:rsid w:val="00A20AA0"/>
    <w:rsid w:val="00A20DB9"/>
    <w:rsid w:val="00A21095"/>
    <w:rsid w:val="00A213B4"/>
    <w:rsid w:val="00A21421"/>
    <w:rsid w:val="00A21EEB"/>
    <w:rsid w:val="00A2253A"/>
    <w:rsid w:val="00A22552"/>
    <w:rsid w:val="00A226F2"/>
    <w:rsid w:val="00A22D94"/>
    <w:rsid w:val="00A23DD5"/>
    <w:rsid w:val="00A2480D"/>
    <w:rsid w:val="00A25025"/>
    <w:rsid w:val="00A25324"/>
    <w:rsid w:val="00A25A18"/>
    <w:rsid w:val="00A27C8B"/>
    <w:rsid w:val="00A27FC2"/>
    <w:rsid w:val="00A30206"/>
    <w:rsid w:val="00A30AA9"/>
    <w:rsid w:val="00A30DE5"/>
    <w:rsid w:val="00A30FC7"/>
    <w:rsid w:val="00A3102E"/>
    <w:rsid w:val="00A3154C"/>
    <w:rsid w:val="00A316A1"/>
    <w:rsid w:val="00A31729"/>
    <w:rsid w:val="00A317A4"/>
    <w:rsid w:val="00A326AD"/>
    <w:rsid w:val="00A33276"/>
    <w:rsid w:val="00A33DAA"/>
    <w:rsid w:val="00A34278"/>
    <w:rsid w:val="00A34ED0"/>
    <w:rsid w:val="00A355F9"/>
    <w:rsid w:val="00A356DF"/>
    <w:rsid w:val="00A359E2"/>
    <w:rsid w:val="00A35A14"/>
    <w:rsid w:val="00A36B22"/>
    <w:rsid w:val="00A36F10"/>
    <w:rsid w:val="00A37543"/>
    <w:rsid w:val="00A378A2"/>
    <w:rsid w:val="00A37DAA"/>
    <w:rsid w:val="00A40267"/>
    <w:rsid w:val="00A4055A"/>
    <w:rsid w:val="00A40793"/>
    <w:rsid w:val="00A41218"/>
    <w:rsid w:val="00A41E4F"/>
    <w:rsid w:val="00A42639"/>
    <w:rsid w:val="00A435DA"/>
    <w:rsid w:val="00A43819"/>
    <w:rsid w:val="00A442B9"/>
    <w:rsid w:val="00A4441C"/>
    <w:rsid w:val="00A44A88"/>
    <w:rsid w:val="00A45B23"/>
    <w:rsid w:val="00A46621"/>
    <w:rsid w:val="00A46E2D"/>
    <w:rsid w:val="00A4724B"/>
    <w:rsid w:val="00A47265"/>
    <w:rsid w:val="00A47655"/>
    <w:rsid w:val="00A50A12"/>
    <w:rsid w:val="00A50DF9"/>
    <w:rsid w:val="00A50FC1"/>
    <w:rsid w:val="00A51168"/>
    <w:rsid w:val="00A511AB"/>
    <w:rsid w:val="00A5146D"/>
    <w:rsid w:val="00A5160A"/>
    <w:rsid w:val="00A51768"/>
    <w:rsid w:val="00A51837"/>
    <w:rsid w:val="00A522AB"/>
    <w:rsid w:val="00A526D7"/>
    <w:rsid w:val="00A53BC0"/>
    <w:rsid w:val="00A53BDD"/>
    <w:rsid w:val="00A53E19"/>
    <w:rsid w:val="00A54C46"/>
    <w:rsid w:val="00A54CA3"/>
    <w:rsid w:val="00A55B06"/>
    <w:rsid w:val="00A56412"/>
    <w:rsid w:val="00A56C26"/>
    <w:rsid w:val="00A573A9"/>
    <w:rsid w:val="00A57429"/>
    <w:rsid w:val="00A578CB"/>
    <w:rsid w:val="00A57EAF"/>
    <w:rsid w:val="00A6090D"/>
    <w:rsid w:val="00A6128C"/>
    <w:rsid w:val="00A61849"/>
    <w:rsid w:val="00A61897"/>
    <w:rsid w:val="00A618B4"/>
    <w:rsid w:val="00A62005"/>
    <w:rsid w:val="00A63092"/>
    <w:rsid w:val="00A63911"/>
    <w:rsid w:val="00A63BC1"/>
    <w:rsid w:val="00A63BFA"/>
    <w:rsid w:val="00A640DF"/>
    <w:rsid w:val="00A64844"/>
    <w:rsid w:val="00A648A0"/>
    <w:rsid w:val="00A65C95"/>
    <w:rsid w:val="00A663F5"/>
    <w:rsid w:val="00A66D94"/>
    <w:rsid w:val="00A67939"/>
    <w:rsid w:val="00A70721"/>
    <w:rsid w:val="00A709CF"/>
    <w:rsid w:val="00A71BC7"/>
    <w:rsid w:val="00A722B0"/>
    <w:rsid w:val="00A7392D"/>
    <w:rsid w:val="00A73B95"/>
    <w:rsid w:val="00A744DB"/>
    <w:rsid w:val="00A749CB"/>
    <w:rsid w:val="00A74C0F"/>
    <w:rsid w:val="00A758AC"/>
    <w:rsid w:val="00A76097"/>
    <w:rsid w:val="00A7649F"/>
    <w:rsid w:val="00A776B7"/>
    <w:rsid w:val="00A778C0"/>
    <w:rsid w:val="00A80A95"/>
    <w:rsid w:val="00A81333"/>
    <w:rsid w:val="00A81858"/>
    <w:rsid w:val="00A81C29"/>
    <w:rsid w:val="00A81EB7"/>
    <w:rsid w:val="00A82548"/>
    <w:rsid w:val="00A82786"/>
    <w:rsid w:val="00A82DB2"/>
    <w:rsid w:val="00A83308"/>
    <w:rsid w:val="00A8336E"/>
    <w:rsid w:val="00A83838"/>
    <w:rsid w:val="00A83BCD"/>
    <w:rsid w:val="00A841D4"/>
    <w:rsid w:val="00A857C8"/>
    <w:rsid w:val="00A86486"/>
    <w:rsid w:val="00A86491"/>
    <w:rsid w:val="00A86C18"/>
    <w:rsid w:val="00A86D74"/>
    <w:rsid w:val="00A87DBE"/>
    <w:rsid w:val="00A90311"/>
    <w:rsid w:val="00A90EB5"/>
    <w:rsid w:val="00A91094"/>
    <w:rsid w:val="00A91767"/>
    <w:rsid w:val="00A92236"/>
    <w:rsid w:val="00A92789"/>
    <w:rsid w:val="00A937A9"/>
    <w:rsid w:val="00A95076"/>
    <w:rsid w:val="00A952FD"/>
    <w:rsid w:val="00A9571E"/>
    <w:rsid w:val="00A96903"/>
    <w:rsid w:val="00A96B21"/>
    <w:rsid w:val="00A97735"/>
    <w:rsid w:val="00AA0393"/>
    <w:rsid w:val="00AA05FD"/>
    <w:rsid w:val="00AA077B"/>
    <w:rsid w:val="00AA0E83"/>
    <w:rsid w:val="00AA14AB"/>
    <w:rsid w:val="00AA14DF"/>
    <w:rsid w:val="00AA3730"/>
    <w:rsid w:val="00AA3BB8"/>
    <w:rsid w:val="00AA5971"/>
    <w:rsid w:val="00AA5DEB"/>
    <w:rsid w:val="00AA603E"/>
    <w:rsid w:val="00AA669D"/>
    <w:rsid w:val="00AA75A2"/>
    <w:rsid w:val="00AA78B1"/>
    <w:rsid w:val="00AA7DAA"/>
    <w:rsid w:val="00AB078E"/>
    <w:rsid w:val="00AB097F"/>
    <w:rsid w:val="00AB0FC3"/>
    <w:rsid w:val="00AB1005"/>
    <w:rsid w:val="00AB1491"/>
    <w:rsid w:val="00AB2371"/>
    <w:rsid w:val="00AB2A0A"/>
    <w:rsid w:val="00AB33A3"/>
    <w:rsid w:val="00AB375A"/>
    <w:rsid w:val="00AB3EC8"/>
    <w:rsid w:val="00AB401F"/>
    <w:rsid w:val="00AB43EE"/>
    <w:rsid w:val="00AB4767"/>
    <w:rsid w:val="00AB4772"/>
    <w:rsid w:val="00AB70BB"/>
    <w:rsid w:val="00AC07B6"/>
    <w:rsid w:val="00AC1126"/>
    <w:rsid w:val="00AC18C8"/>
    <w:rsid w:val="00AC1D20"/>
    <w:rsid w:val="00AC1D47"/>
    <w:rsid w:val="00AC24AE"/>
    <w:rsid w:val="00AC2741"/>
    <w:rsid w:val="00AC2756"/>
    <w:rsid w:val="00AC2C3D"/>
    <w:rsid w:val="00AC383E"/>
    <w:rsid w:val="00AC4496"/>
    <w:rsid w:val="00AC4C69"/>
    <w:rsid w:val="00AC53F3"/>
    <w:rsid w:val="00AC6109"/>
    <w:rsid w:val="00AC684B"/>
    <w:rsid w:val="00AC6A07"/>
    <w:rsid w:val="00AC6A5F"/>
    <w:rsid w:val="00AC6DB3"/>
    <w:rsid w:val="00AC72C9"/>
    <w:rsid w:val="00AC7C42"/>
    <w:rsid w:val="00AC7CE8"/>
    <w:rsid w:val="00AD02A3"/>
    <w:rsid w:val="00AD163E"/>
    <w:rsid w:val="00AD19B6"/>
    <w:rsid w:val="00AD2108"/>
    <w:rsid w:val="00AD28A4"/>
    <w:rsid w:val="00AD3456"/>
    <w:rsid w:val="00AD43E0"/>
    <w:rsid w:val="00AD4ABF"/>
    <w:rsid w:val="00AD4D67"/>
    <w:rsid w:val="00AD4D9D"/>
    <w:rsid w:val="00AD56E5"/>
    <w:rsid w:val="00AD6824"/>
    <w:rsid w:val="00AD69BD"/>
    <w:rsid w:val="00AD6CE3"/>
    <w:rsid w:val="00AD7380"/>
    <w:rsid w:val="00AE026C"/>
    <w:rsid w:val="00AE0FBD"/>
    <w:rsid w:val="00AE2B8E"/>
    <w:rsid w:val="00AE2E16"/>
    <w:rsid w:val="00AE3950"/>
    <w:rsid w:val="00AE4CC3"/>
    <w:rsid w:val="00AE52D3"/>
    <w:rsid w:val="00AE53BD"/>
    <w:rsid w:val="00AE6BE7"/>
    <w:rsid w:val="00AE70CC"/>
    <w:rsid w:val="00AE73B3"/>
    <w:rsid w:val="00AE769C"/>
    <w:rsid w:val="00AE7A3F"/>
    <w:rsid w:val="00AE7CD7"/>
    <w:rsid w:val="00AF05B4"/>
    <w:rsid w:val="00AF07D5"/>
    <w:rsid w:val="00AF0FCA"/>
    <w:rsid w:val="00AF1013"/>
    <w:rsid w:val="00AF1307"/>
    <w:rsid w:val="00AF1639"/>
    <w:rsid w:val="00AF180E"/>
    <w:rsid w:val="00AF1CF6"/>
    <w:rsid w:val="00AF3D32"/>
    <w:rsid w:val="00AF426D"/>
    <w:rsid w:val="00AF5FFD"/>
    <w:rsid w:val="00AF62D7"/>
    <w:rsid w:val="00AF6BD6"/>
    <w:rsid w:val="00AF70AD"/>
    <w:rsid w:val="00AF7D66"/>
    <w:rsid w:val="00B00D39"/>
    <w:rsid w:val="00B00E4C"/>
    <w:rsid w:val="00B019B2"/>
    <w:rsid w:val="00B020FC"/>
    <w:rsid w:val="00B0247A"/>
    <w:rsid w:val="00B02D68"/>
    <w:rsid w:val="00B03206"/>
    <w:rsid w:val="00B0378D"/>
    <w:rsid w:val="00B038E5"/>
    <w:rsid w:val="00B0507F"/>
    <w:rsid w:val="00B066E6"/>
    <w:rsid w:val="00B06A17"/>
    <w:rsid w:val="00B073C9"/>
    <w:rsid w:val="00B07C17"/>
    <w:rsid w:val="00B07D4B"/>
    <w:rsid w:val="00B100B6"/>
    <w:rsid w:val="00B113CC"/>
    <w:rsid w:val="00B125C8"/>
    <w:rsid w:val="00B13C5B"/>
    <w:rsid w:val="00B13F6F"/>
    <w:rsid w:val="00B13F83"/>
    <w:rsid w:val="00B149AC"/>
    <w:rsid w:val="00B1689E"/>
    <w:rsid w:val="00B17831"/>
    <w:rsid w:val="00B17AD6"/>
    <w:rsid w:val="00B2006A"/>
    <w:rsid w:val="00B213AF"/>
    <w:rsid w:val="00B21796"/>
    <w:rsid w:val="00B2227D"/>
    <w:rsid w:val="00B222B1"/>
    <w:rsid w:val="00B22930"/>
    <w:rsid w:val="00B23474"/>
    <w:rsid w:val="00B24DA3"/>
    <w:rsid w:val="00B252FD"/>
    <w:rsid w:val="00B252FF"/>
    <w:rsid w:val="00B25941"/>
    <w:rsid w:val="00B260F8"/>
    <w:rsid w:val="00B27EEF"/>
    <w:rsid w:val="00B30DE2"/>
    <w:rsid w:val="00B31A1A"/>
    <w:rsid w:val="00B3208A"/>
    <w:rsid w:val="00B328E7"/>
    <w:rsid w:val="00B32F61"/>
    <w:rsid w:val="00B32FEC"/>
    <w:rsid w:val="00B3349D"/>
    <w:rsid w:val="00B33EA8"/>
    <w:rsid w:val="00B35297"/>
    <w:rsid w:val="00B35BF0"/>
    <w:rsid w:val="00B36CC7"/>
    <w:rsid w:val="00B37A55"/>
    <w:rsid w:val="00B40D21"/>
    <w:rsid w:val="00B41434"/>
    <w:rsid w:val="00B419D3"/>
    <w:rsid w:val="00B42372"/>
    <w:rsid w:val="00B42688"/>
    <w:rsid w:val="00B4295F"/>
    <w:rsid w:val="00B43A80"/>
    <w:rsid w:val="00B44281"/>
    <w:rsid w:val="00B45110"/>
    <w:rsid w:val="00B453BD"/>
    <w:rsid w:val="00B455F3"/>
    <w:rsid w:val="00B45EE0"/>
    <w:rsid w:val="00B45F39"/>
    <w:rsid w:val="00B46169"/>
    <w:rsid w:val="00B46706"/>
    <w:rsid w:val="00B50215"/>
    <w:rsid w:val="00B5102B"/>
    <w:rsid w:val="00B51F57"/>
    <w:rsid w:val="00B525C1"/>
    <w:rsid w:val="00B527A4"/>
    <w:rsid w:val="00B5386E"/>
    <w:rsid w:val="00B558AD"/>
    <w:rsid w:val="00B55A5C"/>
    <w:rsid w:val="00B5796D"/>
    <w:rsid w:val="00B57AC2"/>
    <w:rsid w:val="00B57C75"/>
    <w:rsid w:val="00B605E5"/>
    <w:rsid w:val="00B60B75"/>
    <w:rsid w:val="00B60BB1"/>
    <w:rsid w:val="00B60DF2"/>
    <w:rsid w:val="00B6125B"/>
    <w:rsid w:val="00B612A2"/>
    <w:rsid w:val="00B613ED"/>
    <w:rsid w:val="00B616FE"/>
    <w:rsid w:val="00B62188"/>
    <w:rsid w:val="00B63515"/>
    <w:rsid w:val="00B63FFF"/>
    <w:rsid w:val="00B642B4"/>
    <w:rsid w:val="00B647BD"/>
    <w:rsid w:val="00B64846"/>
    <w:rsid w:val="00B6498F"/>
    <w:rsid w:val="00B658B0"/>
    <w:rsid w:val="00B65A10"/>
    <w:rsid w:val="00B65EA9"/>
    <w:rsid w:val="00B6639F"/>
    <w:rsid w:val="00B670F3"/>
    <w:rsid w:val="00B67264"/>
    <w:rsid w:val="00B67345"/>
    <w:rsid w:val="00B67C96"/>
    <w:rsid w:val="00B70E81"/>
    <w:rsid w:val="00B70EDE"/>
    <w:rsid w:val="00B71046"/>
    <w:rsid w:val="00B719C4"/>
    <w:rsid w:val="00B71B57"/>
    <w:rsid w:val="00B71B98"/>
    <w:rsid w:val="00B71CD3"/>
    <w:rsid w:val="00B71E92"/>
    <w:rsid w:val="00B72186"/>
    <w:rsid w:val="00B72B33"/>
    <w:rsid w:val="00B72D58"/>
    <w:rsid w:val="00B73B5D"/>
    <w:rsid w:val="00B74623"/>
    <w:rsid w:val="00B74F7A"/>
    <w:rsid w:val="00B7528D"/>
    <w:rsid w:val="00B75614"/>
    <w:rsid w:val="00B764EE"/>
    <w:rsid w:val="00B76A38"/>
    <w:rsid w:val="00B77210"/>
    <w:rsid w:val="00B7721F"/>
    <w:rsid w:val="00B7765D"/>
    <w:rsid w:val="00B77CA3"/>
    <w:rsid w:val="00B81869"/>
    <w:rsid w:val="00B8231E"/>
    <w:rsid w:val="00B8327C"/>
    <w:rsid w:val="00B832CE"/>
    <w:rsid w:val="00B83500"/>
    <w:rsid w:val="00B83FDD"/>
    <w:rsid w:val="00B84002"/>
    <w:rsid w:val="00B85D1C"/>
    <w:rsid w:val="00B868D7"/>
    <w:rsid w:val="00B870F2"/>
    <w:rsid w:val="00B878D5"/>
    <w:rsid w:val="00B87CCD"/>
    <w:rsid w:val="00B87EFF"/>
    <w:rsid w:val="00B90582"/>
    <w:rsid w:val="00B90CB0"/>
    <w:rsid w:val="00B91064"/>
    <w:rsid w:val="00B91B23"/>
    <w:rsid w:val="00B92150"/>
    <w:rsid w:val="00B92824"/>
    <w:rsid w:val="00B92B0B"/>
    <w:rsid w:val="00B9343C"/>
    <w:rsid w:val="00B93489"/>
    <w:rsid w:val="00B93712"/>
    <w:rsid w:val="00B9387B"/>
    <w:rsid w:val="00B938E9"/>
    <w:rsid w:val="00B9424B"/>
    <w:rsid w:val="00B9445D"/>
    <w:rsid w:val="00B949E6"/>
    <w:rsid w:val="00B94D9C"/>
    <w:rsid w:val="00B94E01"/>
    <w:rsid w:val="00B950CF"/>
    <w:rsid w:val="00B952B8"/>
    <w:rsid w:val="00B954D0"/>
    <w:rsid w:val="00B97333"/>
    <w:rsid w:val="00B97341"/>
    <w:rsid w:val="00B977A9"/>
    <w:rsid w:val="00B97A84"/>
    <w:rsid w:val="00B97B33"/>
    <w:rsid w:val="00BA11F8"/>
    <w:rsid w:val="00BA28A1"/>
    <w:rsid w:val="00BA5513"/>
    <w:rsid w:val="00BA5733"/>
    <w:rsid w:val="00BA6141"/>
    <w:rsid w:val="00BA614E"/>
    <w:rsid w:val="00BA6437"/>
    <w:rsid w:val="00BA67A8"/>
    <w:rsid w:val="00BA6D70"/>
    <w:rsid w:val="00BB0384"/>
    <w:rsid w:val="00BB1718"/>
    <w:rsid w:val="00BB19CA"/>
    <w:rsid w:val="00BB1A26"/>
    <w:rsid w:val="00BB1FC6"/>
    <w:rsid w:val="00BB1FDC"/>
    <w:rsid w:val="00BB22E6"/>
    <w:rsid w:val="00BB2CB8"/>
    <w:rsid w:val="00BB33D8"/>
    <w:rsid w:val="00BB3A25"/>
    <w:rsid w:val="00BB3BC0"/>
    <w:rsid w:val="00BB3CBA"/>
    <w:rsid w:val="00BB40D2"/>
    <w:rsid w:val="00BB51DC"/>
    <w:rsid w:val="00BB5A8D"/>
    <w:rsid w:val="00BB5D15"/>
    <w:rsid w:val="00BB5F64"/>
    <w:rsid w:val="00BB6267"/>
    <w:rsid w:val="00BB7EB5"/>
    <w:rsid w:val="00BC0F16"/>
    <w:rsid w:val="00BC0F30"/>
    <w:rsid w:val="00BC3624"/>
    <w:rsid w:val="00BC4148"/>
    <w:rsid w:val="00BC4249"/>
    <w:rsid w:val="00BC4584"/>
    <w:rsid w:val="00BC4B2D"/>
    <w:rsid w:val="00BC50FB"/>
    <w:rsid w:val="00BC544C"/>
    <w:rsid w:val="00BC59E3"/>
    <w:rsid w:val="00BC5BAD"/>
    <w:rsid w:val="00BC6107"/>
    <w:rsid w:val="00BC67F6"/>
    <w:rsid w:val="00BC698D"/>
    <w:rsid w:val="00BC6A9B"/>
    <w:rsid w:val="00BC6BB8"/>
    <w:rsid w:val="00BC6DC2"/>
    <w:rsid w:val="00BC746F"/>
    <w:rsid w:val="00BC7B2C"/>
    <w:rsid w:val="00BD001F"/>
    <w:rsid w:val="00BD0503"/>
    <w:rsid w:val="00BD1B62"/>
    <w:rsid w:val="00BD1E11"/>
    <w:rsid w:val="00BD2A69"/>
    <w:rsid w:val="00BD39CB"/>
    <w:rsid w:val="00BD40A3"/>
    <w:rsid w:val="00BD4B11"/>
    <w:rsid w:val="00BD4EDB"/>
    <w:rsid w:val="00BD5122"/>
    <w:rsid w:val="00BD6341"/>
    <w:rsid w:val="00BD6617"/>
    <w:rsid w:val="00BD69FF"/>
    <w:rsid w:val="00BD6DBB"/>
    <w:rsid w:val="00BD7AC1"/>
    <w:rsid w:val="00BE06D2"/>
    <w:rsid w:val="00BE16D4"/>
    <w:rsid w:val="00BE1B30"/>
    <w:rsid w:val="00BE23B5"/>
    <w:rsid w:val="00BE27C4"/>
    <w:rsid w:val="00BE2D05"/>
    <w:rsid w:val="00BE2D4A"/>
    <w:rsid w:val="00BE370D"/>
    <w:rsid w:val="00BE3CD5"/>
    <w:rsid w:val="00BE41B8"/>
    <w:rsid w:val="00BE51E7"/>
    <w:rsid w:val="00BE61FF"/>
    <w:rsid w:val="00BE6347"/>
    <w:rsid w:val="00BE6823"/>
    <w:rsid w:val="00BE6C29"/>
    <w:rsid w:val="00BE73E6"/>
    <w:rsid w:val="00BF035B"/>
    <w:rsid w:val="00BF0AA4"/>
    <w:rsid w:val="00BF19D0"/>
    <w:rsid w:val="00BF2981"/>
    <w:rsid w:val="00BF6216"/>
    <w:rsid w:val="00BF6DBE"/>
    <w:rsid w:val="00C002F1"/>
    <w:rsid w:val="00C00371"/>
    <w:rsid w:val="00C006AA"/>
    <w:rsid w:val="00C00707"/>
    <w:rsid w:val="00C00C93"/>
    <w:rsid w:val="00C01F4B"/>
    <w:rsid w:val="00C02094"/>
    <w:rsid w:val="00C02124"/>
    <w:rsid w:val="00C02214"/>
    <w:rsid w:val="00C02309"/>
    <w:rsid w:val="00C0278E"/>
    <w:rsid w:val="00C02814"/>
    <w:rsid w:val="00C02886"/>
    <w:rsid w:val="00C02B4C"/>
    <w:rsid w:val="00C03001"/>
    <w:rsid w:val="00C031B3"/>
    <w:rsid w:val="00C032F6"/>
    <w:rsid w:val="00C03E1A"/>
    <w:rsid w:val="00C044D1"/>
    <w:rsid w:val="00C0466E"/>
    <w:rsid w:val="00C052DA"/>
    <w:rsid w:val="00C062E1"/>
    <w:rsid w:val="00C06348"/>
    <w:rsid w:val="00C06FAD"/>
    <w:rsid w:val="00C0749D"/>
    <w:rsid w:val="00C07CC5"/>
    <w:rsid w:val="00C07E16"/>
    <w:rsid w:val="00C10013"/>
    <w:rsid w:val="00C1076A"/>
    <w:rsid w:val="00C10876"/>
    <w:rsid w:val="00C1172D"/>
    <w:rsid w:val="00C1279A"/>
    <w:rsid w:val="00C12940"/>
    <w:rsid w:val="00C12D15"/>
    <w:rsid w:val="00C12EB8"/>
    <w:rsid w:val="00C130C3"/>
    <w:rsid w:val="00C131FB"/>
    <w:rsid w:val="00C138D4"/>
    <w:rsid w:val="00C13918"/>
    <w:rsid w:val="00C13E82"/>
    <w:rsid w:val="00C14399"/>
    <w:rsid w:val="00C14722"/>
    <w:rsid w:val="00C15159"/>
    <w:rsid w:val="00C15DA3"/>
    <w:rsid w:val="00C16495"/>
    <w:rsid w:val="00C16A3A"/>
    <w:rsid w:val="00C1700C"/>
    <w:rsid w:val="00C17797"/>
    <w:rsid w:val="00C2059D"/>
    <w:rsid w:val="00C20F57"/>
    <w:rsid w:val="00C21FE5"/>
    <w:rsid w:val="00C220D9"/>
    <w:rsid w:val="00C22721"/>
    <w:rsid w:val="00C229D3"/>
    <w:rsid w:val="00C2300E"/>
    <w:rsid w:val="00C2362E"/>
    <w:rsid w:val="00C23A59"/>
    <w:rsid w:val="00C24126"/>
    <w:rsid w:val="00C24DF6"/>
    <w:rsid w:val="00C25CE3"/>
    <w:rsid w:val="00C25EA0"/>
    <w:rsid w:val="00C26F42"/>
    <w:rsid w:val="00C2752C"/>
    <w:rsid w:val="00C27816"/>
    <w:rsid w:val="00C3013C"/>
    <w:rsid w:val="00C308AB"/>
    <w:rsid w:val="00C30BBF"/>
    <w:rsid w:val="00C31DF5"/>
    <w:rsid w:val="00C32BE6"/>
    <w:rsid w:val="00C339AA"/>
    <w:rsid w:val="00C34784"/>
    <w:rsid w:val="00C34BDD"/>
    <w:rsid w:val="00C34EB0"/>
    <w:rsid w:val="00C35BC8"/>
    <w:rsid w:val="00C35D75"/>
    <w:rsid w:val="00C3714C"/>
    <w:rsid w:val="00C40F58"/>
    <w:rsid w:val="00C41041"/>
    <w:rsid w:val="00C4126C"/>
    <w:rsid w:val="00C41A7C"/>
    <w:rsid w:val="00C41AE9"/>
    <w:rsid w:val="00C41D85"/>
    <w:rsid w:val="00C41DAE"/>
    <w:rsid w:val="00C438ED"/>
    <w:rsid w:val="00C43A83"/>
    <w:rsid w:val="00C440F0"/>
    <w:rsid w:val="00C446ED"/>
    <w:rsid w:val="00C4571D"/>
    <w:rsid w:val="00C45B8C"/>
    <w:rsid w:val="00C461DF"/>
    <w:rsid w:val="00C462B5"/>
    <w:rsid w:val="00C46F00"/>
    <w:rsid w:val="00C47459"/>
    <w:rsid w:val="00C47F15"/>
    <w:rsid w:val="00C47F99"/>
    <w:rsid w:val="00C50933"/>
    <w:rsid w:val="00C5095F"/>
    <w:rsid w:val="00C50CA0"/>
    <w:rsid w:val="00C51248"/>
    <w:rsid w:val="00C524C4"/>
    <w:rsid w:val="00C53055"/>
    <w:rsid w:val="00C5331A"/>
    <w:rsid w:val="00C53B57"/>
    <w:rsid w:val="00C5470F"/>
    <w:rsid w:val="00C54B82"/>
    <w:rsid w:val="00C5557C"/>
    <w:rsid w:val="00C55B77"/>
    <w:rsid w:val="00C564E0"/>
    <w:rsid w:val="00C57835"/>
    <w:rsid w:val="00C57D31"/>
    <w:rsid w:val="00C6049D"/>
    <w:rsid w:val="00C60B5A"/>
    <w:rsid w:val="00C61AC3"/>
    <w:rsid w:val="00C63A42"/>
    <w:rsid w:val="00C64004"/>
    <w:rsid w:val="00C641D2"/>
    <w:rsid w:val="00C648E3"/>
    <w:rsid w:val="00C64BBE"/>
    <w:rsid w:val="00C650BB"/>
    <w:rsid w:val="00C656FC"/>
    <w:rsid w:val="00C66140"/>
    <w:rsid w:val="00C66470"/>
    <w:rsid w:val="00C665F6"/>
    <w:rsid w:val="00C67389"/>
    <w:rsid w:val="00C673C7"/>
    <w:rsid w:val="00C6774A"/>
    <w:rsid w:val="00C67D62"/>
    <w:rsid w:val="00C7041D"/>
    <w:rsid w:val="00C7063B"/>
    <w:rsid w:val="00C708AD"/>
    <w:rsid w:val="00C709B2"/>
    <w:rsid w:val="00C70CDA"/>
    <w:rsid w:val="00C72924"/>
    <w:rsid w:val="00C72CA0"/>
    <w:rsid w:val="00C7315C"/>
    <w:rsid w:val="00C74C34"/>
    <w:rsid w:val="00C74F93"/>
    <w:rsid w:val="00C767A6"/>
    <w:rsid w:val="00C77C4B"/>
    <w:rsid w:val="00C8064C"/>
    <w:rsid w:val="00C8174C"/>
    <w:rsid w:val="00C823AC"/>
    <w:rsid w:val="00C8386E"/>
    <w:rsid w:val="00C839EE"/>
    <w:rsid w:val="00C84467"/>
    <w:rsid w:val="00C84BF1"/>
    <w:rsid w:val="00C84E3C"/>
    <w:rsid w:val="00C85261"/>
    <w:rsid w:val="00C85277"/>
    <w:rsid w:val="00C85649"/>
    <w:rsid w:val="00C86149"/>
    <w:rsid w:val="00C8634D"/>
    <w:rsid w:val="00C86702"/>
    <w:rsid w:val="00C86A0C"/>
    <w:rsid w:val="00C86B83"/>
    <w:rsid w:val="00C91186"/>
    <w:rsid w:val="00C91468"/>
    <w:rsid w:val="00C918DD"/>
    <w:rsid w:val="00C91A53"/>
    <w:rsid w:val="00C928E5"/>
    <w:rsid w:val="00C92CAE"/>
    <w:rsid w:val="00C92F47"/>
    <w:rsid w:val="00C939D6"/>
    <w:rsid w:val="00C95BE7"/>
    <w:rsid w:val="00C95ECB"/>
    <w:rsid w:val="00C95F3B"/>
    <w:rsid w:val="00C96642"/>
    <w:rsid w:val="00CA071C"/>
    <w:rsid w:val="00CA0990"/>
    <w:rsid w:val="00CA0AC0"/>
    <w:rsid w:val="00CA1349"/>
    <w:rsid w:val="00CA15CA"/>
    <w:rsid w:val="00CA1943"/>
    <w:rsid w:val="00CA1E59"/>
    <w:rsid w:val="00CA2236"/>
    <w:rsid w:val="00CA22B5"/>
    <w:rsid w:val="00CA3BF5"/>
    <w:rsid w:val="00CA41A9"/>
    <w:rsid w:val="00CA424A"/>
    <w:rsid w:val="00CA44DF"/>
    <w:rsid w:val="00CA4A8E"/>
    <w:rsid w:val="00CA4CD7"/>
    <w:rsid w:val="00CA50E0"/>
    <w:rsid w:val="00CA54F2"/>
    <w:rsid w:val="00CA5641"/>
    <w:rsid w:val="00CA57FD"/>
    <w:rsid w:val="00CA66E1"/>
    <w:rsid w:val="00CA6E83"/>
    <w:rsid w:val="00CA6F70"/>
    <w:rsid w:val="00CB022B"/>
    <w:rsid w:val="00CB1379"/>
    <w:rsid w:val="00CB1634"/>
    <w:rsid w:val="00CB1DD9"/>
    <w:rsid w:val="00CB3BD4"/>
    <w:rsid w:val="00CB3E1E"/>
    <w:rsid w:val="00CB47DB"/>
    <w:rsid w:val="00CB4C5A"/>
    <w:rsid w:val="00CB4FF7"/>
    <w:rsid w:val="00CB733B"/>
    <w:rsid w:val="00CB7623"/>
    <w:rsid w:val="00CC0988"/>
    <w:rsid w:val="00CC09EA"/>
    <w:rsid w:val="00CC0CA6"/>
    <w:rsid w:val="00CC0E2A"/>
    <w:rsid w:val="00CC2361"/>
    <w:rsid w:val="00CC38F7"/>
    <w:rsid w:val="00CC3D53"/>
    <w:rsid w:val="00CC4265"/>
    <w:rsid w:val="00CC4E3E"/>
    <w:rsid w:val="00CC5A81"/>
    <w:rsid w:val="00CC72F4"/>
    <w:rsid w:val="00CC7430"/>
    <w:rsid w:val="00CC7B62"/>
    <w:rsid w:val="00CC7CB9"/>
    <w:rsid w:val="00CC7F2D"/>
    <w:rsid w:val="00CD04FF"/>
    <w:rsid w:val="00CD0517"/>
    <w:rsid w:val="00CD0695"/>
    <w:rsid w:val="00CD096F"/>
    <w:rsid w:val="00CD0A44"/>
    <w:rsid w:val="00CD0A87"/>
    <w:rsid w:val="00CD0DAE"/>
    <w:rsid w:val="00CD11D2"/>
    <w:rsid w:val="00CD1A06"/>
    <w:rsid w:val="00CD1B4B"/>
    <w:rsid w:val="00CD1EAC"/>
    <w:rsid w:val="00CD2BEB"/>
    <w:rsid w:val="00CD3059"/>
    <w:rsid w:val="00CD3B32"/>
    <w:rsid w:val="00CD3EF9"/>
    <w:rsid w:val="00CD57BA"/>
    <w:rsid w:val="00CD5DED"/>
    <w:rsid w:val="00CD5E4C"/>
    <w:rsid w:val="00CD6183"/>
    <w:rsid w:val="00CD72C4"/>
    <w:rsid w:val="00CD74FF"/>
    <w:rsid w:val="00CE00A8"/>
    <w:rsid w:val="00CE0AEF"/>
    <w:rsid w:val="00CE146B"/>
    <w:rsid w:val="00CE21B8"/>
    <w:rsid w:val="00CE2D15"/>
    <w:rsid w:val="00CE364A"/>
    <w:rsid w:val="00CE386F"/>
    <w:rsid w:val="00CE3D7E"/>
    <w:rsid w:val="00CE49F9"/>
    <w:rsid w:val="00CE552C"/>
    <w:rsid w:val="00CE5A69"/>
    <w:rsid w:val="00CF0631"/>
    <w:rsid w:val="00CF0D96"/>
    <w:rsid w:val="00CF10CD"/>
    <w:rsid w:val="00CF1CBE"/>
    <w:rsid w:val="00CF22FB"/>
    <w:rsid w:val="00CF2334"/>
    <w:rsid w:val="00CF262C"/>
    <w:rsid w:val="00CF3B44"/>
    <w:rsid w:val="00CF4ABE"/>
    <w:rsid w:val="00CF4F3A"/>
    <w:rsid w:val="00CF561C"/>
    <w:rsid w:val="00CF6283"/>
    <w:rsid w:val="00CF69A2"/>
    <w:rsid w:val="00CF6E95"/>
    <w:rsid w:val="00D001C9"/>
    <w:rsid w:val="00D01451"/>
    <w:rsid w:val="00D017B5"/>
    <w:rsid w:val="00D01928"/>
    <w:rsid w:val="00D03137"/>
    <w:rsid w:val="00D031EF"/>
    <w:rsid w:val="00D03394"/>
    <w:rsid w:val="00D03C95"/>
    <w:rsid w:val="00D04B2E"/>
    <w:rsid w:val="00D051BD"/>
    <w:rsid w:val="00D0570A"/>
    <w:rsid w:val="00D05BE3"/>
    <w:rsid w:val="00D05FBA"/>
    <w:rsid w:val="00D06379"/>
    <w:rsid w:val="00D0748F"/>
    <w:rsid w:val="00D07779"/>
    <w:rsid w:val="00D07ECF"/>
    <w:rsid w:val="00D10C52"/>
    <w:rsid w:val="00D115C4"/>
    <w:rsid w:val="00D12282"/>
    <w:rsid w:val="00D128F0"/>
    <w:rsid w:val="00D13A43"/>
    <w:rsid w:val="00D14B74"/>
    <w:rsid w:val="00D15A51"/>
    <w:rsid w:val="00D15C27"/>
    <w:rsid w:val="00D16DE3"/>
    <w:rsid w:val="00D17597"/>
    <w:rsid w:val="00D200BA"/>
    <w:rsid w:val="00D2062C"/>
    <w:rsid w:val="00D2072A"/>
    <w:rsid w:val="00D20AFE"/>
    <w:rsid w:val="00D21638"/>
    <w:rsid w:val="00D21C57"/>
    <w:rsid w:val="00D22208"/>
    <w:rsid w:val="00D223A6"/>
    <w:rsid w:val="00D22CF5"/>
    <w:rsid w:val="00D22F4A"/>
    <w:rsid w:val="00D233B7"/>
    <w:rsid w:val="00D23719"/>
    <w:rsid w:val="00D23845"/>
    <w:rsid w:val="00D2388A"/>
    <w:rsid w:val="00D239F6"/>
    <w:rsid w:val="00D23D39"/>
    <w:rsid w:val="00D24454"/>
    <w:rsid w:val="00D253CE"/>
    <w:rsid w:val="00D25C64"/>
    <w:rsid w:val="00D26423"/>
    <w:rsid w:val="00D26AAB"/>
    <w:rsid w:val="00D276BA"/>
    <w:rsid w:val="00D30058"/>
    <w:rsid w:val="00D303EE"/>
    <w:rsid w:val="00D304E1"/>
    <w:rsid w:val="00D30C35"/>
    <w:rsid w:val="00D30FAF"/>
    <w:rsid w:val="00D31330"/>
    <w:rsid w:val="00D31A1B"/>
    <w:rsid w:val="00D32D53"/>
    <w:rsid w:val="00D335E3"/>
    <w:rsid w:val="00D33669"/>
    <w:rsid w:val="00D336AA"/>
    <w:rsid w:val="00D33A59"/>
    <w:rsid w:val="00D34455"/>
    <w:rsid w:val="00D349E9"/>
    <w:rsid w:val="00D34E68"/>
    <w:rsid w:val="00D353C9"/>
    <w:rsid w:val="00D372FB"/>
    <w:rsid w:val="00D37861"/>
    <w:rsid w:val="00D41836"/>
    <w:rsid w:val="00D42D2C"/>
    <w:rsid w:val="00D4471F"/>
    <w:rsid w:val="00D44B1A"/>
    <w:rsid w:val="00D44E98"/>
    <w:rsid w:val="00D463CA"/>
    <w:rsid w:val="00D46401"/>
    <w:rsid w:val="00D471DD"/>
    <w:rsid w:val="00D47895"/>
    <w:rsid w:val="00D478DA"/>
    <w:rsid w:val="00D47D98"/>
    <w:rsid w:val="00D47F02"/>
    <w:rsid w:val="00D5000A"/>
    <w:rsid w:val="00D514D0"/>
    <w:rsid w:val="00D521F0"/>
    <w:rsid w:val="00D53125"/>
    <w:rsid w:val="00D546A4"/>
    <w:rsid w:val="00D55970"/>
    <w:rsid w:val="00D5663F"/>
    <w:rsid w:val="00D57487"/>
    <w:rsid w:val="00D574BB"/>
    <w:rsid w:val="00D57B60"/>
    <w:rsid w:val="00D60090"/>
    <w:rsid w:val="00D603E9"/>
    <w:rsid w:val="00D608FE"/>
    <w:rsid w:val="00D60975"/>
    <w:rsid w:val="00D60B49"/>
    <w:rsid w:val="00D60D29"/>
    <w:rsid w:val="00D60E2F"/>
    <w:rsid w:val="00D615FE"/>
    <w:rsid w:val="00D62146"/>
    <w:rsid w:val="00D62CB8"/>
    <w:rsid w:val="00D6350F"/>
    <w:rsid w:val="00D65C34"/>
    <w:rsid w:val="00D6600B"/>
    <w:rsid w:val="00D66620"/>
    <w:rsid w:val="00D66BAE"/>
    <w:rsid w:val="00D67DE5"/>
    <w:rsid w:val="00D70065"/>
    <w:rsid w:val="00D70F99"/>
    <w:rsid w:val="00D726C8"/>
    <w:rsid w:val="00D72D6C"/>
    <w:rsid w:val="00D738A2"/>
    <w:rsid w:val="00D73CF8"/>
    <w:rsid w:val="00D74A82"/>
    <w:rsid w:val="00D74D90"/>
    <w:rsid w:val="00D754F0"/>
    <w:rsid w:val="00D75B23"/>
    <w:rsid w:val="00D75B3C"/>
    <w:rsid w:val="00D769D4"/>
    <w:rsid w:val="00D77343"/>
    <w:rsid w:val="00D7764F"/>
    <w:rsid w:val="00D8033A"/>
    <w:rsid w:val="00D8070E"/>
    <w:rsid w:val="00D80C0B"/>
    <w:rsid w:val="00D810BB"/>
    <w:rsid w:val="00D8112B"/>
    <w:rsid w:val="00D824DC"/>
    <w:rsid w:val="00D82A90"/>
    <w:rsid w:val="00D83096"/>
    <w:rsid w:val="00D8313D"/>
    <w:rsid w:val="00D83161"/>
    <w:rsid w:val="00D83D74"/>
    <w:rsid w:val="00D84096"/>
    <w:rsid w:val="00D84389"/>
    <w:rsid w:val="00D84B4E"/>
    <w:rsid w:val="00D84F4D"/>
    <w:rsid w:val="00D84F85"/>
    <w:rsid w:val="00D85267"/>
    <w:rsid w:val="00D85301"/>
    <w:rsid w:val="00D85FD2"/>
    <w:rsid w:val="00D85FD9"/>
    <w:rsid w:val="00D86B0E"/>
    <w:rsid w:val="00D870E6"/>
    <w:rsid w:val="00D87168"/>
    <w:rsid w:val="00D91524"/>
    <w:rsid w:val="00D9173C"/>
    <w:rsid w:val="00D918DE"/>
    <w:rsid w:val="00D92703"/>
    <w:rsid w:val="00D939B9"/>
    <w:rsid w:val="00D94033"/>
    <w:rsid w:val="00D94D0A"/>
    <w:rsid w:val="00D95368"/>
    <w:rsid w:val="00D95621"/>
    <w:rsid w:val="00D95A15"/>
    <w:rsid w:val="00D97187"/>
    <w:rsid w:val="00D97D8F"/>
    <w:rsid w:val="00DA0251"/>
    <w:rsid w:val="00DA0DFB"/>
    <w:rsid w:val="00DA0E15"/>
    <w:rsid w:val="00DA133B"/>
    <w:rsid w:val="00DA173B"/>
    <w:rsid w:val="00DA1989"/>
    <w:rsid w:val="00DA1A1C"/>
    <w:rsid w:val="00DA4956"/>
    <w:rsid w:val="00DA4FF6"/>
    <w:rsid w:val="00DA5774"/>
    <w:rsid w:val="00DA69AB"/>
    <w:rsid w:val="00DA69BC"/>
    <w:rsid w:val="00DA6DBE"/>
    <w:rsid w:val="00DA71FE"/>
    <w:rsid w:val="00DA7B05"/>
    <w:rsid w:val="00DA7B0C"/>
    <w:rsid w:val="00DA7E59"/>
    <w:rsid w:val="00DB080F"/>
    <w:rsid w:val="00DB19A2"/>
    <w:rsid w:val="00DB1A35"/>
    <w:rsid w:val="00DB1EAE"/>
    <w:rsid w:val="00DB2622"/>
    <w:rsid w:val="00DB2E88"/>
    <w:rsid w:val="00DB2EBE"/>
    <w:rsid w:val="00DB3548"/>
    <w:rsid w:val="00DB3F4A"/>
    <w:rsid w:val="00DB4D30"/>
    <w:rsid w:val="00DB4FAD"/>
    <w:rsid w:val="00DB551C"/>
    <w:rsid w:val="00DB5E41"/>
    <w:rsid w:val="00DB5F5B"/>
    <w:rsid w:val="00DB6394"/>
    <w:rsid w:val="00DB6AD8"/>
    <w:rsid w:val="00DB75A6"/>
    <w:rsid w:val="00DB78D9"/>
    <w:rsid w:val="00DB7A96"/>
    <w:rsid w:val="00DC016F"/>
    <w:rsid w:val="00DC096E"/>
    <w:rsid w:val="00DC1968"/>
    <w:rsid w:val="00DC1B74"/>
    <w:rsid w:val="00DC1D1B"/>
    <w:rsid w:val="00DC3084"/>
    <w:rsid w:val="00DC3917"/>
    <w:rsid w:val="00DC39B4"/>
    <w:rsid w:val="00DC4174"/>
    <w:rsid w:val="00DC4AFF"/>
    <w:rsid w:val="00DC561F"/>
    <w:rsid w:val="00DC5DED"/>
    <w:rsid w:val="00DC6648"/>
    <w:rsid w:val="00DC7414"/>
    <w:rsid w:val="00DC7770"/>
    <w:rsid w:val="00DC7A4F"/>
    <w:rsid w:val="00DC7B13"/>
    <w:rsid w:val="00DD0026"/>
    <w:rsid w:val="00DD1CDA"/>
    <w:rsid w:val="00DD2636"/>
    <w:rsid w:val="00DD2A0C"/>
    <w:rsid w:val="00DD33BA"/>
    <w:rsid w:val="00DD3B67"/>
    <w:rsid w:val="00DD40D2"/>
    <w:rsid w:val="00DD5201"/>
    <w:rsid w:val="00DD5F40"/>
    <w:rsid w:val="00DD7BA4"/>
    <w:rsid w:val="00DE020E"/>
    <w:rsid w:val="00DE041B"/>
    <w:rsid w:val="00DE09D3"/>
    <w:rsid w:val="00DE2067"/>
    <w:rsid w:val="00DE3629"/>
    <w:rsid w:val="00DE3761"/>
    <w:rsid w:val="00DE3DE8"/>
    <w:rsid w:val="00DE4C70"/>
    <w:rsid w:val="00DE4F82"/>
    <w:rsid w:val="00DE6682"/>
    <w:rsid w:val="00DE6B45"/>
    <w:rsid w:val="00DE6D46"/>
    <w:rsid w:val="00DE754F"/>
    <w:rsid w:val="00DE7BBD"/>
    <w:rsid w:val="00DE7DEA"/>
    <w:rsid w:val="00DF07FB"/>
    <w:rsid w:val="00DF25DE"/>
    <w:rsid w:val="00DF2628"/>
    <w:rsid w:val="00DF369B"/>
    <w:rsid w:val="00DF3735"/>
    <w:rsid w:val="00DF3D08"/>
    <w:rsid w:val="00DF4973"/>
    <w:rsid w:val="00DF71CD"/>
    <w:rsid w:val="00E00513"/>
    <w:rsid w:val="00E00B34"/>
    <w:rsid w:val="00E0172E"/>
    <w:rsid w:val="00E02415"/>
    <w:rsid w:val="00E0266F"/>
    <w:rsid w:val="00E03876"/>
    <w:rsid w:val="00E03CBB"/>
    <w:rsid w:val="00E0457B"/>
    <w:rsid w:val="00E05541"/>
    <w:rsid w:val="00E05A51"/>
    <w:rsid w:val="00E06E6E"/>
    <w:rsid w:val="00E072B2"/>
    <w:rsid w:val="00E0738B"/>
    <w:rsid w:val="00E0759B"/>
    <w:rsid w:val="00E07E8A"/>
    <w:rsid w:val="00E1066A"/>
    <w:rsid w:val="00E1085E"/>
    <w:rsid w:val="00E10912"/>
    <w:rsid w:val="00E1097C"/>
    <w:rsid w:val="00E1115C"/>
    <w:rsid w:val="00E1182D"/>
    <w:rsid w:val="00E11DF3"/>
    <w:rsid w:val="00E12792"/>
    <w:rsid w:val="00E12887"/>
    <w:rsid w:val="00E12953"/>
    <w:rsid w:val="00E12ACB"/>
    <w:rsid w:val="00E13102"/>
    <w:rsid w:val="00E134A4"/>
    <w:rsid w:val="00E13DE9"/>
    <w:rsid w:val="00E1436F"/>
    <w:rsid w:val="00E143D6"/>
    <w:rsid w:val="00E14985"/>
    <w:rsid w:val="00E150CF"/>
    <w:rsid w:val="00E15C80"/>
    <w:rsid w:val="00E15F38"/>
    <w:rsid w:val="00E1608B"/>
    <w:rsid w:val="00E16252"/>
    <w:rsid w:val="00E1670B"/>
    <w:rsid w:val="00E17467"/>
    <w:rsid w:val="00E17B87"/>
    <w:rsid w:val="00E2069A"/>
    <w:rsid w:val="00E20CA9"/>
    <w:rsid w:val="00E20EA9"/>
    <w:rsid w:val="00E21471"/>
    <w:rsid w:val="00E218FF"/>
    <w:rsid w:val="00E21B38"/>
    <w:rsid w:val="00E21D3F"/>
    <w:rsid w:val="00E23E59"/>
    <w:rsid w:val="00E24840"/>
    <w:rsid w:val="00E259DE"/>
    <w:rsid w:val="00E25A39"/>
    <w:rsid w:val="00E269D8"/>
    <w:rsid w:val="00E3096A"/>
    <w:rsid w:val="00E30CC8"/>
    <w:rsid w:val="00E30FB7"/>
    <w:rsid w:val="00E3196F"/>
    <w:rsid w:val="00E31C67"/>
    <w:rsid w:val="00E3207F"/>
    <w:rsid w:val="00E328C8"/>
    <w:rsid w:val="00E33DAD"/>
    <w:rsid w:val="00E344E2"/>
    <w:rsid w:val="00E34702"/>
    <w:rsid w:val="00E34786"/>
    <w:rsid w:val="00E349C9"/>
    <w:rsid w:val="00E34C19"/>
    <w:rsid w:val="00E3503D"/>
    <w:rsid w:val="00E36995"/>
    <w:rsid w:val="00E36CCF"/>
    <w:rsid w:val="00E37206"/>
    <w:rsid w:val="00E40345"/>
    <w:rsid w:val="00E40378"/>
    <w:rsid w:val="00E40E55"/>
    <w:rsid w:val="00E4104F"/>
    <w:rsid w:val="00E41E8D"/>
    <w:rsid w:val="00E42976"/>
    <w:rsid w:val="00E42C23"/>
    <w:rsid w:val="00E433BF"/>
    <w:rsid w:val="00E439ED"/>
    <w:rsid w:val="00E43B3D"/>
    <w:rsid w:val="00E43D0E"/>
    <w:rsid w:val="00E43F20"/>
    <w:rsid w:val="00E44870"/>
    <w:rsid w:val="00E44C78"/>
    <w:rsid w:val="00E44D3C"/>
    <w:rsid w:val="00E44EBE"/>
    <w:rsid w:val="00E459AE"/>
    <w:rsid w:val="00E45ACD"/>
    <w:rsid w:val="00E46911"/>
    <w:rsid w:val="00E46A25"/>
    <w:rsid w:val="00E46FBD"/>
    <w:rsid w:val="00E47C2D"/>
    <w:rsid w:val="00E5049C"/>
    <w:rsid w:val="00E50651"/>
    <w:rsid w:val="00E50D9E"/>
    <w:rsid w:val="00E52D03"/>
    <w:rsid w:val="00E53702"/>
    <w:rsid w:val="00E53F13"/>
    <w:rsid w:val="00E5464C"/>
    <w:rsid w:val="00E54D23"/>
    <w:rsid w:val="00E54DC7"/>
    <w:rsid w:val="00E54F24"/>
    <w:rsid w:val="00E553DD"/>
    <w:rsid w:val="00E55865"/>
    <w:rsid w:val="00E55A06"/>
    <w:rsid w:val="00E55D9E"/>
    <w:rsid w:val="00E55EF5"/>
    <w:rsid w:val="00E55F88"/>
    <w:rsid w:val="00E563BA"/>
    <w:rsid w:val="00E56EDD"/>
    <w:rsid w:val="00E57449"/>
    <w:rsid w:val="00E6138D"/>
    <w:rsid w:val="00E61720"/>
    <w:rsid w:val="00E61A80"/>
    <w:rsid w:val="00E61F22"/>
    <w:rsid w:val="00E62207"/>
    <w:rsid w:val="00E62D76"/>
    <w:rsid w:val="00E6326E"/>
    <w:rsid w:val="00E6359E"/>
    <w:rsid w:val="00E636E1"/>
    <w:rsid w:val="00E63EBF"/>
    <w:rsid w:val="00E66CB7"/>
    <w:rsid w:val="00E67700"/>
    <w:rsid w:val="00E677B1"/>
    <w:rsid w:val="00E679FB"/>
    <w:rsid w:val="00E70107"/>
    <w:rsid w:val="00E703C3"/>
    <w:rsid w:val="00E70B73"/>
    <w:rsid w:val="00E70DDE"/>
    <w:rsid w:val="00E71664"/>
    <w:rsid w:val="00E7185B"/>
    <w:rsid w:val="00E745DB"/>
    <w:rsid w:val="00E74620"/>
    <w:rsid w:val="00E74759"/>
    <w:rsid w:val="00E75336"/>
    <w:rsid w:val="00E757A1"/>
    <w:rsid w:val="00E7594F"/>
    <w:rsid w:val="00E75AC2"/>
    <w:rsid w:val="00E75C17"/>
    <w:rsid w:val="00E7733F"/>
    <w:rsid w:val="00E774D4"/>
    <w:rsid w:val="00E77EC6"/>
    <w:rsid w:val="00E77EF1"/>
    <w:rsid w:val="00E80599"/>
    <w:rsid w:val="00E8083F"/>
    <w:rsid w:val="00E80CAE"/>
    <w:rsid w:val="00E8206E"/>
    <w:rsid w:val="00E82F41"/>
    <w:rsid w:val="00E833A7"/>
    <w:rsid w:val="00E8353B"/>
    <w:rsid w:val="00E8378B"/>
    <w:rsid w:val="00E845CF"/>
    <w:rsid w:val="00E846B3"/>
    <w:rsid w:val="00E84F46"/>
    <w:rsid w:val="00E85010"/>
    <w:rsid w:val="00E856FA"/>
    <w:rsid w:val="00E85BAD"/>
    <w:rsid w:val="00E85C30"/>
    <w:rsid w:val="00E85DDA"/>
    <w:rsid w:val="00E8691E"/>
    <w:rsid w:val="00E86E7E"/>
    <w:rsid w:val="00E90EDF"/>
    <w:rsid w:val="00E913CF"/>
    <w:rsid w:val="00E91544"/>
    <w:rsid w:val="00E918C1"/>
    <w:rsid w:val="00E91A84"/>
    <w:rsid w:val="00E92350"/>
    <w:rsid w:val="00E92539"/>
    <w:rsid w:val="00E9296F"/>
    <w:rsid w:val="00E93043"/>
    <w:rsid w:val="00E93322"/>
    <w:rsid w:val="00E936CA"/>
    <w:rsid w:val="00E93925"/>
    <w:rsid w:val="00E94747"/>
    <w:rsid w:val="00E94856"/>
    <w:rsid w:val="00E94C53"/>
    <w:rsid w:val="00E94CBA"/>
    <w:rsid w:val="00E97114"/>
    <w:rsid w:val="00E97EF1"/>
    <w:rsid w:val="00EA12EF"/>
    <w:rsid w:val="00EA1A00"/>
    <w:rsid w:val="00EA2341"/>
    <w:rsid w:val="00EA29F5"/>
    <w:rsid w:val="00EA2F2C"/>
    <w:rsid w:val="00EA370E"/>
    <w:rsid w:val="00EA3A2F"/>
    <w:rsid w:val="00EA3BAC"/>
    <w:rsid w:val="00EA4029"/>
    <w:rsid w:val="00EA4A5C"/>
    <w:rsid w:val="00EA51E1"/>
    <w:rsid w:val="00EA6ADA"/>
    <w:rsid w:val="00EA7BFD"/>
    <w:rsid w:val="00EA7C3D"/>
    <w:rsid w:val="00EA7D7C"/>
    <w:rsid w:val="00EB04A0"/>
    <w:rsid w:val="00EB06CB"/>
    <w:rsid w:val="00EB0986"/>
    <w:rsid w:val="00EB11ED"/>
    <w:rsid w:val="00EB146C"/>
    <w:rsid w:val="00EB2B02"/>
    <w:rsid w:val="00EB402C"/>
    <w:rsid w:val="00EB45AC"/>
    <w:rsid w:val="00EB4F20"/>
    <w:rsid w:val="00EB5C83"/>
    <w:rsid w:val="00EB601C"/>
    <w:rsid w:val="00EB656A"/>
    <w:rsid w:val="00EB6644"/>
    <w:rsid w:val="00EB6A1D"/>
    <w:rsid w:val="00EB7021"/>
    <w:rsid w:val="00EB764A"/>
    <w:rsid w:val="00EC0AF2"/>
    <w:rsid w:val="00EC0DAB"/>
    <w:rsid w:val="00EC1682"/>
    <w:rsid w:val="00EC1D68"/>
    <w:rsid w:val="00EC1DD3"/>
    <w:rsid w:val="00EC2D24"/>
    <w:rsid w:val="00EC2DAA"/>
    <w:rsid w:val="00EC37E4"/>
    <w:rsid w:val="00EC39A3"/>
    <w:rsid w:val="00EC4543"/>
    <w:rsid w:val="00EC4DF4"/>
    <w:rsid w:val="00EC4E1A"/>
    <w:rsid w:val="00EC5C50"/>
    <w:rsid w:val="00EC5DA7"/>
    <w:rsid w:val="00EC5F93"/>
    <w:rsid w:val="00EC6029"/>
    <w:rsid w:val="00EC6419"/>
    <w:rsid w:val="00EC65D9"/>
    <w:rsid w:val="00EC6950"/>
    <w:rsid w:val="00EC7C40"/>
    <w:rsid w:val="00ED0869"/>
    <w:rsid w:val="00ED2173"/>
    <w:rsid w:val="00ED2188"/>
    <w:rsid w:val="00ED2D31"/>
    <w:rsid w:val="00ED41C4"/>
    <w:rsid w:val="00ED4342"/>
    <w:rsid w:val="00ED4818"/>
    <w:rsid w:val="00ED484E"/>
    <w:rsid w:val="00EE010A"/>
    <w:rsid w:val="00EE0BA2"/>
    <w:rsid w:val="00EE13C3"/>
    <w:rsid w:val="00EE346B"/>
    <w:rsid w:val="00EE3C49"/>
    <w:rsid w:val="00EE3D61"/>
    <w:rsid w:val="00EE43DB"/>
    <w:rsid w:val="00EE518D"/>
    <w:rsid w:val="00EE528E"/>
    <w:rsid w:val="00EE533D"/>
    <w:rsid w:val="00EE5920"/>
    <w:rsid w:val="00EE6BE9"/>
    <w:rsid w:val="00EE6EDE"/>
    <w:rsid w:val="00EE71FA"/>
    <w:rsid w:val="00EE779F"/>
    <w:rsid w:val="00EF0076"/>
    <w:rsid w:val="00EF0684"/>
    <w:rsid w:val="00EF08AF"/>
    <w:rsid w:val="00EF0A45"/>
    <w:rsid w:val="00EF1EEE"/>
    <w:rsid w:val="00EF2E7D"/>
    <w:rsid w:val="00EF3334"/>
    <w:rsid w:val="00EF358D"/>
    <w:rsid w:val="00EF36CF"/>
    <w:rsid w:val="00EF4193"/>
    <w:rsid w:val="00EF4702"/>
    <w:rsid w:val="00EF500E"/>
    <w:rsid w:val="00EF542E"/>
    <w:rsid w:val="00EF54BC"/>
    <w:rsid w:val="00EF578A"/>
    <w:rsid w:val="00EF61ED"/>
    <w:rsid w:val="00EF6391"/>
    <w:rsid w:val="00EF6B0C"/>
    <w:rsid w:val="00EF6B33"/>
    <w:rsid w:val="00EF713E"/>
    <w:rsid w:val="00EF7EE4"/>
    <w:rsid w:val="00F005A0"/>
    <w:rsid w:val="00F00E9C"/>
    <w:rsid w:val="00F01EBF"/>
    <w:rsid w:val="00F02AD5"/>
    <w:rsid w:val="00F02DE1"/>
    <w:rsid w:val="00F03069"/>
    <w:rsid w:val="00F03F9F"/>
    <w:rsid w:val="00F04038"/>
    <w:rsid w:val="00F055AF"/>
    <w:rsid w:val="00F055E0"/>
    <w:rsid w:val="00F06250"/>
    <w:rsid w:val="00F079E6"/>
    <w:rsid w:val="00F11564"/>
    <w:rsid w:val="00F1172E"/>
    <w:rsid w:val="00F11B06"/>
    <w:rsid w:val="00F11B52"/>
    <w:rsid w:val="00F123E1"/>
    <w:rsid w:val="00F13190"/>
    <w:rsid w:val="00F13384"/>
    <w:rsid w:val="00F13430"/>
    <w:rsid w:val="00F136F1"/>
    <w:rsid w:val="00F1386E"/>
    <w:rsid w:val="00F15C4D"/>
    <w:rsid w:val="00F201A5"/>
    <w:rsid w:val="00F2035D"/>
    <w:rsid w:val="00F20ADB"/>
    <w:rsid w:val="00F2173D"/>
    <w:rsid w:val="00F21BB8"/>
    <w:rsid w:val="00F21C55"/>
    <w:rsid w:val="00F2203D"/>
    <w:rsid w:val="00F224E0"/>
    <w:rsid w:val="00F224FA"/>
    <w:rsid w:val="00F22616"/>
    <w:rsid w:val="00F226C6"/>
    <w:rsid w:val="00F23899"/>
    <w:rsid w:val="00F2398E"/>
    <w:rsid w:val="00F23995"/>
    <w:rsid w:val="00F242E7"/>
    <w:rsid w:val="00F242F8"/>
    <w:rsid w:val="00F247B6"/>
    <w:rsid w:val="00F24D1D"/>
    <w:rsid w:val="00F2560F"/>
    <w:rsid w:val="00F260BB"/>
    <w:rsid w:val="00F278C3"/>
    <w:rsid w:val="00F30D46"/>
    <w:rsid w:val="00F30E96"/>
    <w:rsid w:val="00F317E2"/>
    <w:rsid w:val="00F32037"/>
    <w:rsid w:val="00F3272E"/>
    <w:rsid w:val="00F32823"/>
    <w:rsid w:val="00F32FBC"/>
    <w:rsid w:val="00F33A96"/>
    <w:rsid w:val="00F34B7C"/>
    <w:rsid w:val="00F35621"/>
    <w:rsid w:val="00F35643"/>
    <w:rsid w:val="00F3614E"/>
    <w:rsid w:val="00F36154"/>
    <w:rsid w:val="00F36388"/>
    <w:rsid w:val="00F37C13"/>
    <w:rsid w:val="00F403D5"/>
    <w:rsid w:val="00F40D19"/>
    <w:rsid w:val="00F411FF"/>
    <w:rsid w:val="00F41256"/>
    <w:rsid w:val="00F4277F"/>
    <w:rsid w:val="00F428EB"/>
    <w:rsid w:val="00F42D78"/>
    <w:rsid w:val="00F43C9F"/>
    <w:rsid w:val="00F44089"/>
    <w:rsid w:val="00F4415C"/>
    <w:rsid w:val="00F445CD"/>
    <w:rsid w:val="00F44A19"/>
    <w:rsid w:val="00F44FF2"/>
    <w:rsid w:val="00F450EE"/>
    <w:rsid w:val="00F452ED"/>
    <w:rsid w:val="00F4550D"/>
    <w:rsid w:val="00F46042"/>
    <w:rsid w:val="00F46B8B"/>
    <w:rsid w:val="00F46C82"/>
    <w:rsid w:val="00F4704D"/>
    <w:rsid w:val="00F47893"/>
    <w:rsid w:val="00F50B3A"/>
    <w:rsid w:val="00F52358"/>
    <w:rsid w:val="00F525AB"/>
    <w:rsid w:val="00F5296C"/>
    <w:rsid w:val="00F53C79"/>
    <w:rsid w:val="00F53E2E"/>
    <w:rsid w:val="00F5419F"/>
    <w:rsid w:val="00F54D8A"/>
    <w:rsid w:val="00F5511D"/>
    <w:rsid w:val="00F55983"/>
    <w:rsid w:val="00F55B4B"/>
    <w:rsid w:val="00F55EB4"/>
    <w:rsid w:val="00F560E2"/>
    <w:rsid w:val="00F56328"/>
    <w:rsid w:val="00F56A97"/>
    <w:rsid w:val="00F56A9D"/>
    <w:rsid w:val="00F56B2D"/>
    <w:rsid w:val="00F56D7D"/>
    <w:rsid w:val="00F600DF"/>
    <w:rsid w:val="00F6010A"/>
    <w:rsid w:val="00F60A5D"/>
    <w:rsid w:val="00F60CC1"/>
    <w:rsid w:val="00F61404"/>
    <w:rsid w:val="00F62057"/>
    <w:rsid w:val="00F62E0C"/>
    <w:rsid w:val="00F62F9F"/>
    <w:rsid w:val="00F6313F"/>
    <w:rsid w:val="00F64880"/>
    <w:rsid w:val="00F64E27"/>
    <w:rsid w:val="00F6517A"/>
    <w:rsid w:val="00F653F2"/>
    <w:rsid w:val="00F65599"/>
    <w:rsid w:val="00F6564E"/>
    <w:rsid w:val="00F6600E"/>
    <w:rsid w:val="00F672A7"/>
    <w:rsid w:val="00F71272"/>
    <w:rsid w:val="00F721A9"/>
    <w:rsid w:val="00F72614"/>
    <w:rsid w:val="00F72CFD"/>
    <w:rsid w:val="00F72E0C"/>
    <w:rsid w:val="00F734C3"/>
    <w:rsid w:val="00F73CE9"/>
    <w:rsid w:val="00F741F9"/>
    <w:rsid w:val="00F74A08"/>
    <w:rsid w:val="00F75DBE"/>
    <w:rsid w:val="00F77661"/>
    <w:rsid w:val="00F77D2B"/>
    <w:rsid w:val="00F80064"/>
    <w:rsid w:val="00F80495"/>
    <w:rsid w:val="00F811AD"/>
    <w:rsid w:val="00F81950"/>
    <w:rsid w:val="00F82F0E"/>
    <w:rsid w:val="00F83739"/>
    <w:rsid w:val="00F83BB6"/>
    <w:rsid w:val="00F84C9B"/>
    <w:rsid w:val="00F84D78"/>
    <w:rsid w:val="00F852C6"/>
    <w:rsid w:val="00F864A7"/>
    <w:rsid w:val="00F86F1E"/>
    <w:rsid w:val="00F870A9"/>
    <w:rsid w:val="00F87797"/>
    <w:rsid w:val="00F87AD3"/>
    <w:rsid w:val="00F9032E"/>
    <w:rsid w:val="00F905F6"/>
    <w:rsid w:val="00F9078E"/>
    <w:rsid w:val="00F9149A"/>
    <w:rsid w:val="00F919FA"/>
    <w:rsid w:val="00F93279"/>
    <w:rsid w:val="00F937D5"/>
    <w:rsid w:val="00F93862"/>
    <w:rsid w:val="00F9409C"/>
    <w:rsid w:val="00F95645"/>
    <w:rsid w:val="00F95D34"/>
    <w:rsid w:val="00F961AF"/>
    <w:rsid w:val="00F97167"/>
    <w:rsid w:val="00F971EE"/>
    <w:rsid w:val="00FA0509"/>
    <w:rsid w:val="00FA1708"/>
    <w:rsid w:val="00FA29BE"/>
    <w:rsid w:val="00FA2F11"/>
    <w:rsid w:val="00FA3112"/>
    <w:rsid w:val="00FA31D9"/>
    <w:rsid w:val="00FA36F2"/>
    <w:rsid w:val="00FA3B54"/>
    <w:rsid w:val="00FA3FDC"/>
    <w:rsid w:val="00FA4993"/>
    <w:rsid w:val="00FA4AB7"/>
    <w:rsid w:val="00FA4FFD"/>
    <w:rsid w:val="00FA5294"/>
    <w:rsid w:val="00FA54B2"/>
    <w:rsid w:val="00FA5590"/>
    <w:rsid w:val="00FA573C"/>
    <w:rsid w:val="00FA5C72"/>
    <w:rsid w:val="00FA615A"/>
    <w:rsid w:val="00FB0126"/>
    <w:rsid w:val="00FB0FCB"/>
    <w:rsid w:val="00FB1432"/>
    <w:rsid w:val="00FB1E8A"/>
    <w:rsid w:val="00FB1FD0"/>
    <w:rsid w:val="00FB3B59"/>
    <w:rsid w:val="00FB41A8"/>
    <w:rsid w:val="00FB5E2B"/>
    <w:rsid w:val="00FB604F"/>
    <w:rsid w:val="00FB6B9C"/>
    <w:rsid w:val="00FB738C"/>
    <w:rsid w:val="00FB7756"/>
    <w:rsid w:val="00FC1D50"/>
    <w:rsid w:val="00FC2F70"/>
    <w:rsid w:val="00FC3023"/>
    <w:rsid w:val="00FC3AD9"/>
    <w:rsid w:val="00FC40F2"/>
    <w:rsid w:val="00FC444E"/>
    <w:rsid w:val="00FC44FF"/>
    <w:rsid w:val="00FC5D15"/>
    <w:rsid w:val="00FC60D2"/>
    <w:rsid w:val="00FC70AD"/>
    <w:rsid w:val="00FC7ACB"/>
    <w:rsid w:val="00FC7D9A"/>
    <w:rsid w:val="00FD041A"/>
    <w:rsid w:val="00FD07F0"/>
    <w:rsid w:val="00FD1092"/>
    <w:rsid w:val="00FD13A6"/>
    <w:rsid w:val="00FD1D9F"/>
    <w:rsid w:val="00FD235E"/>
    <w:rsid w:val="00FD2E50"/>
    <w:rsid w:val="00FD36D5"/>
    <w:rsid w:val="00FD37CB"/>
    <w:rsid w:val="00FD4307"/>
    <w:rsid w:val="00FD62E3"/>
    <w:rsid w:val="00FD7020"/>
    <w:rsid w:val="00FD7E6D"/>
    <w:rsid w:val="00FE05B6"/>
    <w:rsid w:val="00FE07D8"/>
    <w:rsid w:val="00FE09E8"/>
    <w:rsid w:val="00FE17BB"/>
    <w:rsid w:val="00FE222E"/>
    <w:rsid w:val="00FE223D"/>
    <w:rsid w:val="00FE24E4"/>
    <w:rsid w:val="00FE3FDE"/>
    <w:rsid w:val="00FE6000"/>
    <w:rsid w:val="00FE6041"/>
    <w:rsid w:val="00FE7812"/>
    <w:rsid w:val="00FE7BC2"/>
    <w:rsid w:val="00FF059F"/>
    <w:rsid w:val="00FF0841"/>
    <w:rsid w:val="00FF363D"/>
    <w:rsid w:val="00FF3E06"/>
    <w:rsid w:val="00FF5651"/>
    <w:rsid w:val="00FF5AFF"/>
    <w:rsid w:val="00FF5C3E"/>
    <w:rsid w:val="00FF5DC9"/>
    <w:rsid w:val="00FF6761"/>
    <w:rsid w:val="00FF6B4A"/>
    <w:rsid w:val="00FF6C34"/>
    <w:rsid w:val="00FF6F45"/>
    <w:rsid w:val="00FF73AD"/>
    <w:rsid w:val="00FF7AAD"/>
    <w:rsid w:val="00FF7C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B25A"/>
  <w15:chartTrackingRefBased/>
  <w15:docId w15:val="{D6E0C0A6-3BA7-461F-9757-55C151FA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0C9"/>
  </w:style>
  <w:style w:type="paragraph" w:styleId="Overskrift1">
    <w:name w:val="heading 1"/>
    <w:basedOn w:val="Normal"/>
    <w:link w:val="Overskrift1Tegn"/>
    <w:uiPriority w:val="9"/>
    <w:qFormat/>
    <w:rsid w:val="007D2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6002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9A6F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5">
    <w:name w:val="Pa5"/>
    <w:basedOn w:val="Normal"/>
    <w:next w:val="Normal"/>
    <w:uiPriority w:val="99"/>
    <w:rsid w:val="00EC6419"/>
    <w:pPr>
      <w:autoSpaceDE w:val="0"/>
      <w:autoSpaceDN w:val="0"/>
      <w:adjustRightInd w:val="0"/>
      <w:spacing w:after="0" w:line="401" w:lineRule="atLeast"/>
    </w:pPr>
    <w:rPr>
      <w:rFonts w:ascii="Adobe Garamond Pro" w:hAnsi="Adobe Garamond Pro"/>
      <w:sz w:val="24"/>
      <w:szCs w:val="24"/>
    </w:rPr>
  </w:style>
  <w:style w:type="character" w:customStyle="1" w:styleId="A5">
    <w:name w:val="A5"/>
    <w:uiPriority w:val="99"/>
    <w:rsid w:val="00EC6419"/>
    <w:rPr>
      <w:rFonts w:cs="Adobe Garamond Pro"/>
      <w:color w:val="211D1E"/>
      <w:sz w:val="22"/>
      <w:szCs w:val="22"/>
    </w:rPr>
  </w:style>
  <w:style w:type="character" w:customStyle="1" w:styleId="A6">
    <w:name w:val="A6"/>
    <w:uiPriority w:val="99"/>
    <w:rsid w:val="00EC6419"/>
    <w:rPr>
      <w:rFonts w:cs="Adobe Garamond Pro"/>
      <w:i/>
      <w:iCs/>
      <w:color w:val="211D1E"/>
      <w:sz w:val="38"/>
      <w:szCs w:val="38"/>
    </w:rPr>
  </w:style>
  <w:style w:type="character" w:customStyle="1" w:styleId="Overskrift1Tegn">
    <w:name w:val="Overskrift 1 Tegn"/>
    <w:basedOn w:val="Standardskrifttypeiafsnit"/>
    <w:link w:val="Overskrift1"/>
    <w:uiPriority w:val="9"/>
    <w:rsid w:val="007D23A5"/>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semiHidden/>
    <w:rsid w:val="009A6FA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A6FA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A6FA4"/>
    <w:rPr>
      <w:b/>
      <w:bCs/>
    </w:rPr>
  </w:style>
  <w:style w:type="character" w:styleId="Hyperlink">
    <w:name w:val="Hyperlink"/>
    <w:basedOn w:val="Standardskrifttypeiafsnit"/>
    <w:uiPriority w:val="99"/>
    <w:unhideWhenUsed/>
    <w:rsid w:val="009A6FA4"/>
    <w:rPr>
      <w:color w:val="0000FF"/>
      <w:u w:val="single"/>
    </w:rPr>
  </w:style>
  <w:style w:type="character" w:customStyle="1" w:styleId="title-text">
    <w:name w:val="title-text"/>
    <w:basedOn w:val="Standardskrifttypeiafsnit"/>
    <w:rsid w:val="00395798"/>
  </w:style>
  <w:style w:type="character" w:customStyle="1" w:styleId="sr-only">
    <w:name w:val="sr-only"/>
    <w:basedOn w:val="Standardskrifttypeiafsnit"/>
    <w:rsid w:val="00395798"/>
  </w:style>
  <w:style w:type="character" w:customStyle="1" w:styleId="text">
    <w:name w:val="text"/>
    <w:basedOn w:val="Standardskrifttypeiafsnit"/>
    <w:rsid w:val="00395798"/>
  </w:style>
  <w:style w:type="character" w:customStyle="1" w:styleId="author-ref">
    <w:name w:val="author-ref"/>
    <w:basedOn w:val="Standardskrifttypeiafsnit"/>
    <w:rsid w:val="00395798"/>
  </w:style>
  <w:style w:type="character" w:customStyle="1" w:styleId="Overskrift2Tegn">
    <w:name w:val="Overskrift 2 Tegn"/>
    <w:basedOn w:val="Standardskrifttypeiafsnit"/>
    <w:link w:val="Overskrift2"/>
    <w:uiPriority w:val="9"/>
    <w:semiHidden/>
    <w:rsid w:val="0060024C"/>
    <w:rPr>
      <w:rFonts w:asciiTheme="majorHAnsi" w:eastAsiaTheme="majorEastAsia" w:hAnsiTheme="majorHAnsi" w:cstheme="majorBidi"/>
      <w:color w:val="2F5496" w:themeColor="accent1" w:themeShade="BF"/>
      <w:sz w:val="26"/>
      <w:szCs w:val="26"/>
    </w:rPr>
  </w:style>
  <w:style w:type="paragraph" w:customStyle="1" w:styleId="Default">
    <w:name w:val="Default"/>
    <w:rsid w:val="008778E6"/>
    <w:pPr>
      <w:autoSpaceDE w:val="0"/>
      <w:autoSpaceDN w:val="0"/>
      <w:adjustRightInd w:val="0"/>
      <w:spacing w:after="0" w:line="240" w:lineRule="auto"/>
    </w:pPr>
    <w:rPr>
      <w:rFonts w:ascii="NHEIJ F+ Charis SIL" w:hAnsi="NHEIJ F+ Charis SIL" w:cs="NHEIJ F+ Charis SIL"/>
      <w:color w:val="000000"/>
      <w:sz w:val="24"/>
      <w:szCs w:val="24"/>
    </w:rPr>
  </w:style>
  <w:style w:type="character" w:customStyle="1" w:styleId="A15">
    <w:name w:val="A15"/>
    <w:uiPriority w:val="99"/>
    <w:rsid w:val="005D1E91"/>
    <w:rPr>
      <w:rFonts w:cs="Adobe Garamond Pro"/>
      <w:i/>
      <w:iCs/>
      <w:color w:val="000000"/>
      <w:sz w:val="10"/>
      <w:szCs w:val="10"/>
    </w:rPr>
  </w:style>
  <w:style w:type="character" w:styleId="Ulstomtale">
    <w:name w:val="Unresolved Mention"/>
    <w:basedOn w:val="Standardskrifttypeiafsnit"/>
    <w:uiPriority w:val="99"/>
    <w:semiHidden/>
    <w:unhideWhenUsed/>
    <w:rsid w:val="00A30FC7"/>
    <w:rPr>
      <w:color w:val="605E5C"/>
      <w:shd w:val="clear" w:color="auto" w:fill="E1DFDD"/>
    </w:rPr>
  </w:style>
  <w:style w:type="character" w:customStyle="1" w:styleId="accordion-tabbedtab-mobile">
    <w:name w:val="accordion-tabbed__tab-mobile"/>
    <w:basedOn w:val="Standardskrifttypeiafsnit"/>
    <w:rsid w:val="0043550E"/>
  </w:style>
  <w:style w:type="character" w:customStyle="1" w:styleId="comma-separator">
    <w:name w:val="comma-separator"/>
    <w:basedOn w:val="Standardskrifttypeiafsnit"/>
    <w:rsid w:val="0043550E"/>
  </w:style>
  <w:style w:type="paragraph" w:customStyle="1" w:styleId="Pa7">
    <w:name w:val="Pa7"/>
    <w:basedOn w:val="Default"/>
    <w:next w:val="Default"/>
    <w:uiPriority w:val="99"/>
    <w:rsid w:val="004E1961"/>
    <w:pPr>
      <w:spacing w:line="261" w:lineRule="atLeast"/>
    </w:pPr>
    <w:rPr>
      <w:rFonts w:ascii="Adobe Garamond Pro Bold" w:hAnsi="Adobe Garamond Pro Bold" w:cstheme="minorBidi"/>
      <w:color w:val="auto"/>
    </w:rPr>
  </w:style>
  <w:style w:type="character" w:customStyle="1" w:styleId="A19">
    <w:name w:val="A19"/>
    <w:uiPriority w:val="99"/>
    <w:rsid w:val="004E1961"/>
    <w:rPr>
      <w:rFonts w:cs="Adobe Garamond Pro Bold"/>
      <w:b/>
      <w:bCs/>
      <w:color w:val="211D1E"/>
      <w:sz w:val="12"/>
      <w:szCs w:val="12"/>
    </w:rPr>
  </w:style>
  <w:style w:type="character" w:customStyle="1" w:styleId="authors">
    <w:name w:val="authors"/>
    <w:basedOn w:val="Standardskrifttypeiafsnit"/>
    <w:rsid w:val="000948AA"/>
  </w:style>
  <w:style w:type="table" w:styleId="Tabel-Gitter">
    <w:name w:val="Table Grid"/>
    <w:basedOn w:val="Tabel-Normal"/>
    <w:uiPriority w:val="39"/>
    <w:rsid w:val="0075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issue">
    <w:name w:val="volume-issue"/>
    <w:basedOn w:val="Normal"/>
    <w:rsid w:val="006220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val">
    <w:name w:val="val"/>
    <w:basedOn w:val="Standardskrifttypeiafsnit"/>
    <w:rsid w:val="0062205D"/>
  </w:style>
  <w:style w:type="paragraph" w:customStyle="1" w:styleId="page-range">
    <w:name w:val="page-range"/>
    <w:basedOn w:val="Normal"/>
    <w:rsid w:val="0062205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article-author-listitem">
    <w:name w:val="c-article-author-list__item"/>
    <w:basedOn w:val="Normal"/>
    <w:rsid w:val="008848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iteddoctitle">
    <w:name w:val="citeddoctitle"/>
    <w:basedOn w:val="Standardskrifttypeiafsnit"/>
    <w:rsid w:val="001F36CB"/>
  </w:style>
  <w:style w:type="character" w:customStyle="1" w:styleId="previewtxt">
    <w:name w:val="previewtxt"/>
    <w:basedOn w:val="Standardskrifttypeiafsnit"/>
    <w:rsid w:val="001F36CB"/>
  </w:style>
  <w:style w:type="paragraph" w:styleId="Sidehoved">
    <w:name w:val="header"/>
    <w:basedOn w:val="Normal"/>
    <w:link w:val="SidehovedTegn"/>
    <w:uiPriority w:val="99"/>
    <w:unhideWhenUsed/>
    <w:rsid w:val="00D811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112B"/>
  </w:style>
  <w:style w:type="paragraph" w:styleId="Sidefod">
    <w:name w:val="footer"/>
    <w:basedOn w:val="Normal"/>
    <w:link w:val="SidefodTegn"/>
    <w:uiPriority w:val="99"/>
    <w:unhideWhenUsed/>
    <w:rsid w:val="00D811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112B"/>
  </w:style>
  <w:style w:type="character" w:styleId="Linjenummer">
    <w:name w:val="line number"/>
    <w:basedOn w:val="Standardskrifttypeiafsnit"/>
    <w:uiPriority w:val="99"/>
    <w:semiHidden/>
    <w:unhideWhenUsed/>
    <w:rsid w:val="00F84C9B"/>
  </w:style>
  <w:style w:type="character" w:customStyle="1" w:styleId="u-visually-hidden">
    <w:name w:val="u-visually-hidden"/>
    <w:basedOn w:val="Standardskrifttypeiafsnit"/>
    <w:rsid w:val="002978B3"/>
  </w:style>
  <w:style w:type="paragraph" w:styleId="Korrektur">
    <w:name w:val="Revision"/>
    <w:hidden/>
    <w:uiPriority w:val="99"/>
    <w:semiHidden/>
    <w:rsid w:val="00586FE9"/>
    <w:pPr>
      <w:spacing w:after="0" w:line="240" w:lineRule="auto"/>
    </w:pPr>
  </w:style>
  <w:style w:type="character" w:customStyle="1" w:styleId="spce">
    <w:name w:val="spce"/>
    <w:basedOn w:val="Standardskrifttypeiafsnit"/>
    <w:rsid w:val="00AC18C8"/>
  </w:style>
  <w:style w:type="character" w:styleId="Fremhv">
    <w:name w:val="Emphasis"/>
    <w:basedOn w:val="Standardskrifttypeiafsnit"/>
    <w:uiPriority w:val="20"/>
    <w:qFormat/>
    <w:rsid w:val="00A76097"/>
    <w:rPr>
      <w:i/>
      <w:iCs/>
    </w:rPr>
  </w:style>
  <w:style w:type="character" w:styleId="HTML-citat">
    <w:name w:val="HTML Cite"/>
    <w:basedOn w:val="Standardskrifttypeiafsnit"/>
    <w:uiPriority w:val="99"/>
    <w:semiHidden/>
    <w:unhideWhenUsed/>
    <w:rsid w:val="00CB1379"/>
    <w:rPr>
      <w:i/>
      <w:iCs/>
    </w:rPr>
  </w:style>
  <w:style w:type="character" w:customStyle="1" w:styleId="src">
    <w:name w:val="src"/>
    <w:basedOn w:val="Standardskrifttypeiafsnit"/>
    <w:rsid w:val="00CB1379"/>
  </w:style>
  <w:style w:type="paragraph" w:styleId="Markeringsbobletekst">
    <w:name w:val="Balloon Text"/>
    <w:basedOn w:val="Normal"/>
    <w:link w:val="MarkeringsbobletekstTegn"/>
    <w:uiPriority w:val="99"/>
    <w:semiHidden/>
    <w:unhideWhenUsed/>
    <w:rsid w:val="00E91544"/>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91544"/>
    <w:rPr>
      <w:rFonts w:ascii="Times New Roman" w:hAnsi="Times New Roman" w:cs="Times New Roman"/>
      <w:sz w:val="18"/>
      <w:szCs w:val="18"/>
    </w:rPr>
  </w:style>
  <w:style w:type="character" w:customStyle="1" w:styleId="react-xocs-alternative-link">
    <w:name w:val="react-xocs-alternative-link"/>
    <w:basedOn w:val="Standardskrifttypeiafsnit"/>
    <w:rsid w:val="00B125C8"/>
  </w:style>
  <w:style w:type="character" w:customStyle="1" w:styleId="given-name">
    <w:name w:val="given-name"/>
    <w:basedOn w:val="Standardskrifttypeiafsnit"/>
    <w:rsid w:val="00B1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7027">
      <w:bodyDiv w:val="1"/>
      <w:marLeft w:val="0"/>
      <w:marRight w:val="0"/>
      <w:marTop w:val="0"/>
      <w:marBottom w:val="0"/>
      <w:divBdr>
        <w:top w:val="none" w:sz="0" w:space="0" w:color="auto"/>
        <w:left w:val="none" w:sz="0" w:space="0" w:color="auto"/>
        <w:bottom w:val="none" w:sz="0" w:space="0" w:color="auto"/>
        <w:right w:val="none" w:sz="0" w:space="0" w:color="auto"/>
      </w:divBdr>
    </w:div>
    <w:div w:id="166598942">
      <w:bodyDiv w:val="1"/>
      <w:marLeft w:val="0"/>
      <w:marRight w:val="0"/>
      <w:marTop w:val="0"/>
      <w:marBottom w:val="0"/>
      <w:divBdr>
        <w:top w:val="none" w:sz="0" w:space="0" w:color="auto"/>
        <w:left w:val="none" w:sz="0" w:space="0" w:color="auto"/>
        <w:bottom w:val="none" w:sz="0" w:space="0" w:color="auto"/>
        <w:right w:val="none" w:sz="0" w:space="0" w:color="auto"/>
      </w:divBdr>
    </w:div>
    <w:div w:id="200558353">
      <w:bodyDiv w:val="1"/>
      <w:marLeft w:val="0"/>
      <w:marRight w:val="0"/>
      <w:marTop w:val="0"/>
      <w:marBottom w:val="0"/>
      <w:divBdr>
        <w:top w:val="none" w:sz="0" w:space="0" w:color="auto"/>
        <w:left w:val="none" w:sz="0" w:space="0" w:color="auto"/>
        <w:bottom w:val="none" w:sz="0" w:space="0" w:color="auto"/>
        <w:right w:val="none" w:sz="0" w:space="0" w:color="auto"/>
      </w:divBdr>
    </w:div>
    <w:div w:id="299388496">
      <w:bodyDiv w:val="1"/>
      <w:marLeft w:val="0"/>
      <w:marRight w:val="0"/>
      <w:marTop w:val="0"/>
      <w:marBottom w:val="0"/>
      <w:divBdr>
        <w:top w:val="none" w:sz="0" w:space="0" w:color="auto"/>
        <w:left w:val="none" w:sz="0" w:space="0" w:color="auto"/>
        <w:bottom w:val="none" w:sz="0" w:space="0" w:color="auto"/>
        <w:right w:val="none" w:sz="0" w:space="0" w:color="auto"/>
      </w:divBdr>
      <w:divsChild>
        <w:div w:id="141704674">
          <w:marLeft w:val="0"/>
          <w:marRight w:val="0"/>
          <w:marTop w:val="0"/>
          <w:marBottom w:val="120"/>
          <w:divBdr>
            <w:top w:val="none" w:sz="0" w:space="0" w:color="auto"/>
            <w:left w:val="none" w:sz="0" w:space="0" w:color="auto"/>
            <w:bottom w:val="none" w:sz="0" w:space="0" w:color="auto"/>
            <w:right w:val="none" w:sz="0" w:space="0" w:color="auto"/>
          </w:divBdr>
          <w:divsChild>
            <w:div w:id="1394114139">
              <w:marLeft w:val="0"/>
              <w:marRight w:val="0"/>
              <w:marTop w:val="0"/>
              <w:marBottom w:val="0"/>
              <w:divBdr>
                <w:top w:val="none" w:sz="0" w:space="0" w:color="auto"/>
                <w:left w:val="none" w:sz="0" w:space="0" w:color="auto"/>
                <w:bottom w:val="none" w:sz="0" w:space="0" w:color="auto"/>
                <w:right w:val="none" w:sz="0" w:space="0" w:color="auto"/>
              </w:divBdr>
              <w:divsChild>
                <w:div w:id="596789659">
                  <w:marLeft w:val="0"/>
                  <w:marRight w:val="0"/>
                  <w:marTop w:val="0"/>
                  <w:marBottom w:val="0"/>
                  <w:divBdr>
                    <w:top w:val="none" w:sz="0" w:space="0" w:color="auto"/>
                    <w:left w:val="none" w:sz="0" w:space="0" w:color="auto"/>
                    <w:bottom w:val="none" w:sz="0" w:space="0" w:color="auto"/>
                    <w:right w:val="none" w:sz="0" w:space="0" w:color="auto"/>
                  </w:divBdr>
                  <w:divsChild>
                    <w:div w:id="7343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3968">
      <w:bodyDiv w:val="1"/>
      <w:marLeft w:val="0"/>
      <w:marRight w:val="0"/>
      <w:marTop w:val="0"/>
      <w:marBottom w:val="0"/>
      <w:divBdr>
        <w:top w:val="none" w:sz="0" w:space="0" w:color="auto"/>
        <w:left w:val="none" w:sz="0" w:space="0" w:color="auto"/>
        <w:bottom w:val="none" w:sz="0" w:space="0" w:color="auto"/>
        <w:right w:val="none" w:sz="0" w:space="0" w:color="auto"/>
      </w:divBdr>
    </w:div>
    <w:div w:id="382876149">
      <w:bodyDiv w:val="1"/>
      <w:marLeft w:val="0"/>
      <w:marRight w:val="0"/>
      <w:marTop w:val="0"/>
      <w:marBottom w:val="0"/>
      <w:divBdr>
        <w:top w:val="none" w:sz="0" w:space="0" w:color="auto"/>
        <w:left w:val="none" w:sz="0" w:space="0" w:color="auto"/>
        <w:bottom w:val="none" w:sz="0" w:space="0" w:color="auto"/>
        <w:right w:val="none" w:sz="0" w:space="0" w:color="auto"/>
      </w:divBdr>
      <w:divsChild>
        <w:div w:id="521747728">
          <w:marLeft w:val="0"/>
          <w:marRight w:val="0"/>
          <w:marTop w:val="0"/>
          <w:marBottom w:val="0"/>
          <w:divBdr>
            <w:top w:val="none" w:sz="0" w:space="0" w:color="auto"/>
            <w:left w:val="none" w:sz="0" w:space="0" w:color="auto"/>
            <w:bottom w:val="none" w:sz="0" w:space="0" w:color="auto"/>
            <w:right w:val="none" w:sz="0" w:space="0" w:color="auto"/>
          </w:divBdr>
          <w:divsChild>
            <w:div w:id="485702644">
              <w:marLeft w:val="0"/>
              <w:marRight w:val="0"/>
              <w:marTop w:val="0"/>
              <w:marBottom w:val="0"/>
              <w:divBdr>
                <w:top w:val="none" w:sz="0" w:space="0" w:color="auto"/>
                <w:left w:val="none" w:sz="0" w:space="0" w:color="auto"/>
                <w:bottom w:val="none" w:sz="0" w:space="0" w:color="auto"/>
                <w:right w:val="none" w:sz="0" w:space="0" w:color="auto"/>
              </w:divBdr>
              <w:divsChild>
                <w:div w:id="1408192595">
                  <w:marLeft w:val="0"/>
                  <w:marRight w:val="0"/>
                  <w:marTop w:val="0"/>
                  <w:marBottom w:val="0"/>
                  <w:divBdr>
                    <w:top w:val="none" w:sz="0" w:space="0" w:color="auto"/>
                    <w:left w:val="none" w:sz="0" w:space="0" w:color="auto"/>
                    <w:bottom w:val="none" w:sz="0" w:space="0" w:color="auto"/>
                    <w:right w:val="none" w:sz="0" w:space="0" w:color="auto"/>
                  </w:divBdr>
                  <w:divsChild>
                    <w:div w:id="3590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983">
      <w:bodyDiv w:val="1"/>
      <w:marLeft w:val="0"/>
      <w:marRight w:val="0"/>
      <w:marTop w:val="0"/>
      <w:marBottom w:val="0"/>
      <w:divBdr>
        <w:top w:val="none" w:sz="0" w:space="0" w:color="auto"/>
        <w:left w:val="none" w:sz="0" w:space="0" w:color="auto"/>
        <w:bottom w:val="none" w:sz="0" w:space="0" w:color="auto"/>
        <w:right w:val="none" w:sz="0" w:space="0" w:color="auto"/>
      </w:divBdr>
    </w:div>
    <w:div w:id="653530105">
      <w:bodyDiv w:val="1"/>
      <w:marLeft w:val="0"/>
      <w:marRight w:val="0"/>
      <w:marTop w:val="0"/>
      <w:marBottom w:val="0"/>
      <w:divBdr>
        <w:top w:val="none" w:sz="0" w:space="0" w:color="auto"/>
        <w:left w:val="none" w:sz="0" w:space="0" w:color="auto"/>
        <w:bottom w:val="none" w:sz="0" w:space="0" w:color="auto"/>
        <w:right w:val="none" w:sz="0" w:space="0" w:color="auto"/>
      </w:divBdr>
    </w:div>
    <w:div w:id="657417528">
      <w:bodyDiv w:val="1"/>
      <w:marLeft w:val="0"/>
      <w:marRight w:val="0"/>
      <w:marTop w:val="0"/>
      <w:marBottom w:val="0"/>
      <w:divBdr>
        <w:top w:val="none" w:sz="0" w:space="0" w:color="auto"/>
        <w:left w:val="none" w:sz="0" w:space="0" w:color="auto"/>
        <w:bottom w:val="none" w:sz="0" w:space="0" w:color="auto"/>
        <w:right w:val="none" w:sz="0" w:space="0" w:color="auto"/>
      </w:divBdr>
    </w:div>
    <w:div w:id="859703493">
      <w:bodyDiv w:val="1"/>
      <w:marLeft w:val="0"/>
      <w:marRight w:val="0"/>
      <w:marTop w:val="0"/>
      <w:marBottom w:val="0"/>
      <w:divBdr>
        <w:top w:val="none" w:sz="0" w:space="0" w:color="auto"/>
        <w:left w:val="none" w:sz="0" w:space="0" w:color="auto"/>
        <w:bottom w:val="none" w:sz="0" w:space="0" w:color="auto"/>
        <w:right w:val="none" w:sz="0" w:space="0" w:color="auto"/>
      </w:divBdr>
    </w:div>
    <w:div w:id="959335175">
      <w:bodyDiv w:val="1"/>
      <w:marLeft w:val="0"/>
      <w:marRight w:val="0"/>
      <w:marTop w:val="0"/>
      <w:marBottom w:val="0"/>
      <w:divBdr>
        <w:top w:val="none" w:sz="0" w:space="0" w:color="auto"/>
        <w:left w:val="none" w:sz="0" w:space="0" w:color="auto"/>
        <w:bottom w:val="none" w:sz="0" w:space="0" w:color="auto"/>
        <w:right w:val="none" w:sz="0" w:space="0" w:color="auto"/>
      </w:divBdr>
      <w:divsChild>
        <w:div w:id="210578516">
          <w:marLeft w:val="0"/>
          <w:marRight w:val="0"/>
          <w:marTop w:val="0"/>
          <w:marBottom w:val="0"/>
          <w:divBdr>
            <w:top w:val="none" w:sz="0" w:space="0" w:color="auto"/>
            <w:left w:val="none" w:sz="0" w:space="0" w:color="auto"/>
            <w:bottom w:val="none" w:sz="0" w:space="0" w:color="auto"/>
            <w:right w:val="none" w:sz="0" w:space="0" w:color="auto"/>
          </w:divBdr>
          <w:divsChild>
            <w:div w:id="1988586871">
              <w:marLeft w:val="0"/>
              <w:marRight w:val="0"/>
              <w:marTop w:val="0"/>
              <w:marBottom w:val="0"/>
              <w:divBdr>
                <w:top w:val="none" w:sz="0" w:space="0" w:color="auto"/>
                <w:left w:val="none" w:sz="0" w:space="0" w:color="auto"/>
                <w:bottom w:val="none" w:sz="0" w:space="0" w:color="auto"/>
                <w:right w:val="none" w:sz="0" w:space="0" w:color="auto"/>
              </w:divBdr>
              <w:divsChild>
                <w:div w:id="1638874613">
                  <w:marLeft w:val="0"/>
                  <w:marRight w:val="0"/>
                  <w:marTop w:val="0"/>
                  <w:marBottom w:val="0"/>
                  <w:divBdr>
                    <w:top w:val="none" w:sz="0" w:space="0" w:color="auto"/>
                    <w:left w:val="none" w:sz="0" w:space="0" w:color="auto"/>
                    <w:bottom w:val="none" w:sz="0" w:space="0" w:color="auto"/>
                    <w:right w:val="none" w:sz="0" w:space="0" w:color="auto"/>
                  </w:divBdr>
                  <w:divsChild>
                    <w:div w:id="925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6516">
      <w:bodyDiv w:val="1"/>
      <w:marLeft w:val="0"/>
      <w:marRight w:val="0"/>
      <w:marTop w:val="0"/>
      <w:marBottom w:val="0"/>
      <w:divBdr>
        <w:top w:val="none" w:sz="0" w:space="0" w:color="auto"/>
        <w:left w:val="none" w:sz="0" w:space="0" w:color="auto"/>
        <w:bottom w:val="none" w:sz="0" w:space="0" w:color="auto"/>
        <w:right w:val="none" w:sz="0" w:space="0" w:color="auto"/>
      </w:divBdr>
    </w:div>
    <w:div w:id="1039091068">
      <w:bodyDiv w:val="1"/>
      <w:marLeft w:val="0"/>
      <w:marRight w:val="0"/>
      <w:marTop w:val="0"/>
      <w:marBottom w:val="0"/>
      <w:divBdr>
        <w:top w:val="none" w:sz="0" w:space="0" w:color="auto"/>
        <w:left w:val="none" w:sz="0" w:space="0" w:color="auto"/>
        <w:bottom w:val="none" w:sz="0" w:space="0" w:color="auto"/>
        <w:right w:val="none" w:sz="0" w:space="0" w:color="auto"/>
      </w:divBdr>
    </w:div>
    <w:div w:id="1101950237">
      <w:bodyDiv w:val="1"/>
      <w:marLeft w:val="0"/>
      <w:marRight w:val="0"/>
      <w:marTop w:val="0"/>
      <w:marBottom w:val="0"/>
      <w:divBdr>
        <w:top w:val="none" w:sz="0" w:space="0" w:color="auto"/>
        <w:left w:val="none" w:sz="0" w:space="0" w:color="auto"/>
        <w:bottom w:val="none" w:sz="0" w:space="0" w:color="auto"/>
        <w:right w:val="none" w:sz="0" w:space="0" w:color="auto"/>
      </w:divBdr>
    </w:div>
    <w:div w:id="1218783390">
      <w:bodyDiv w:val="1"/>
      <w:marLeft w:val="0"/>
      <w:marRight w:val="0"/>
      <w:marTop w:val="0"/>
      <w:marBottom w:val="0"/>
      <w:divBdr>
        <w:top w:val="none" w:sz="0" w:space="0" w:color="auto"/>
        <w:left w:val="none" w:sz="0" w:space="0" w:color="auto"/>
        <w:bottom w:val="none" w:sz="0" w:space="0" w:color="auto"/>
        <w:right w:val="none" w:sz="0" w:space="0" w:color="auto"/>
      </w:divBdr>
    </w:div>
    <w:div w:id="1341812944">
      <w:bodyDiv w:val="1"/>
      <w:marLeft w:val="0"/>
      <w:marRight w:val="0"/>
      <w:marTop w:val="0"/>
      <w:marBottom w:val="0"/>
      <w:divBdr>
        <w:top w:val="none" w:sz="0" w:space="0" w:color="auto"/>
        <w:left w:val="none" w:sz="0" w:space="0" w:color="auto"/>
        <w:bottom w:val="none" w:sz="0" w:space="0" w:color="auto"/>
        <w:right w:val="none" w:sz="0" w:space="0" w:color="auto"/>
      </w:divBdr>
    </w:div>
    <w:div w:id="1385829187">
      <w:bodyDiv w:val="1"/>
      <w:marLeft w:val="0"/>
      <w:marRight w:val="0"/>
      <w:marTop w:val="0"/>
      <w:marBottom w:val="0"/>
      <w:divBdr>
        <w:top w:val="none" w:sz="0" w:space="0" w:color="auto"/>
        <w:left w:val="none" w:sz="0" w:space="0" w:color="auto"/>
        <w:bottom w:val="none" w:sz="0" w:space="0" w:color="auto"/>
        <w:right w:val="none" w:sz="0" w:space="0" w:color="auto"/>
      </w:divBdr>
      <w:divsChild>
        <w:div w:id="341401463">
          <w:marLeft w:val="0"/>
          <w:marRight w:val="75"/>
          <w:marTop w:val="0"/>
          <w:marBottom w:val="0"/>
          <w:divBdr>
            <w:top w:val="none" w:sz="0" w:space="0" w:color="auto"/>
            <w:left w:val="none" w:sz="0" w:space="0" w:color="auto"/>
            <w:bottom w:val="none" w:sz="0" w:space="0" w:color="auto"/>
            <w:right w:val="none" w:sz="0" w:space="0" w:color="auto"/>
          </w:divBdr>
        </w:div>
        <w:div w:id="46734109">
          <w:marLeft w:val="0"/>
          <w:marRight w:val="75"/>
          <w:marTop w:val="0"/>
          <w:marBottom w:val="0"/>
          <w:divBdr>
            <w:top w:val="none" w:sz="0" w:space="0" w:color="auto"/>
            <w:left w:val="none" w:sz="0" w:space="0" w:color="auto"/>
            <w:bottom w:val="none" w:sz="0" w:space="0" w:color="auto"/>
            <w:right w:val="none" w:sz="0" w:space="0" w:color="auto"/>
          </w:divBdr>
        </w:div>
        <w:div w:id="638264591">
          <w:marLeft w:val="0"/>
          <w:marRight w:val="75"/>
          <w:marTop w:val="0"/>
          <w:marBottom w:val="0"/>
          <w:divBdr>
            <w:top w:val="none" w:sz="0" w:space="0" w:color="auto"/>
            <w:left w:val="none" w:sz="0" w:space="0" w:color="auto"/>
            <w:bottom w:val="none" w:sz="0" w:space="0" w:color="auto"/>
            <w:right w:val="none" w:sz="0" w:space="0" w:color="auto"/>
          </w:divBdr>
        </w:div>
      </w:divsChild>
    </w:div>
    <w:div w:id="1424914718">
      <w:bodyDiv w:val="1"/>
      <w:marLeft w:val="0"/>
      <w:marRight w:val="0"/>
      <w:marTop w:val="0"/>
      <w:marBottom w:val="0"/>
      <w:divBdr>
        <w:top w:val="none" w:sz="0" w:space="0" w:color="auto"/>
        <w:left w:val="none" w:sz="0" w:space="0" w:color="auto"/>
        <w:bottom w:val="none" w:sz="0" w:space="0" w:color="auto"/>
        <w:right w:val="none" w:sz="0" w:space="0" w:color="auto"/>
      </w:divBdr>
    </w:div>
    <w:div w:id="1507403281">
      <w:bodyDiv w:val="1"/>
      <w:marLeft w:val="0"/>
      <w:marRight w:val="0"/>
      <w:marTop w:val="0"/>
      <w:marBottom w:val="0"/>
      <w:divBdr>
        <w:top w:val="none" w:sz="0" w:space="0" w:color="auto"/>
        <w:left w:val="none" w:sz="0" w:space="0" w:color="auto"/>
        <w:bottom w:val="none" w:sz="0" w:space="0" w:color="auto"/>
        <w:right w:val="none" w:sz="0" w:space="0" w:color="auto"/>
      </w:divBdr>
    </w:div>
    <w:div w:id="1660840238">
      <w:bodyDiv w:val="1"/>
      <w:marLeft w:val="0"/>
      <w:marRight w:val="0"/>
      <w:marTop w:val="0"/>
      <w:marBottom w:val="0"/>
      <w:divBdr>
        <w:top w:val="none" w:sz="0" w:space="0" w:color="auto"/>
        <w:left w:val="none" w:sz="0" w:space="0" w:color="auto"/>
        <w:bottom w:val="none" w:sz="0" w:space="0" w:color="auto"/>
        <w:right w:val="none" w:sz="0" w:space="0" w:color="auto"/>
      </w:divBdr>
    </w:div>
    <w:div w:id="1805585199">
      <w:bodyDiv w:val="1"/>
      <w:marLeft w:val="0"/>
      <w:marRight w:val="0"/>
      <w:marTop w:val="0"/>
      <w:marBottom w:val="0"/>
      <w:divBdr>
        <w:top w:val="none" w:sz="0" w:space="0" w:color="auto"/>
        <w:left w:val="none" w:sz="0" w:space="0" w:color="auto"/>
        <w:bottom w:val="none" w:sz="0" w:space="0" w:color="auto"/>
        <w:right w:val="none" w:sz="0" w:space="0" w:color="auto"/>
      </w:divBdr>
      <w:divsChild>
        <w:div w:id="197744962">
          <w:marLeft w:val="0"/>
          <w:marRight w:val="0"/>
          <w:marTop w:val="0"/>
          <w:marBottom w:val="120"/>
          <w:divBdr>
            <w:top w:val="none" w:sz="0" w:space="0" w:color="auto"/>
            <w:left w:val="none" w:sz="0" w:space="0" w:color="auto"/>
            <w:bottom w:val="none" w:sz="0" w:space="0" w:color="auto"/>
            <w:right w:val="none" w:sz="0" w:space="0" w:color="auto"/>
          </w:divBdr>
          <w:divsChild>
            <w:div w:id="1123620112">
              <w:marLeft w:val="0"/>
              <w:marRight w:val="0"/>
              <w:marTop w:val="0"/>
              <w:marBottom w:val="0"/>
              <w:divBdr>
                <w:top w:val="none" w:sz="0" w:space="0" w:color="auto"/>
                <w:left w:val="none" w:sz="0" w:space="0" w:color="auto"/>
                <w:bottom w:val="none" w:sz="0" w:space="0" w:color="auto"/>
                <w:right w:val="none" w:sz="0" w:space="0" w:color="auto"/>
              </w:divBdr>
              <w:divsChild>
                <w:div w:id="1774401575">
                  <w:marLeft w:val="0"/>
                  <w:marRight w:val="0"/>
                  <w:marTop w:val="0"/>
                  <w:marBottom w:val="0"/>
                  <w:divBdr>
                    <w:top w:val="none" w:sz="0" w:space="0" w:color="auto"/>
                    <w:left w:val="none" w:sz="0" w:space="0" w:color="auto"/>
                    <w:bottom w:val="none" w:sz="0" w:space="0" w:color="auto"/>
                    <w:right w:val="none" w:sz="0" w:space="0" w:color="auto"/>
                  </w:divBdr>
                  <w:divsChild>
                    <w:div w:id="15574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8221">
      <w:bodyDiv w:val="1"/>
      <w:marLeft w:val="0"/>
      <w:marRight w:val="0"/>
      <w:marTop w:val="0"/>
      <w:marBottom w:val="0"/>
      <w:divBdr>
        <w:top w:val="none" w:sz="0" w:space="0" w:color="auto"/>
        <w:left w:val="none" w:sz="0" w:space="0" w:color="auto"/>
        <w:bottom w:val="none" w:sz="0" w:space="0" w:color="auto"/>
        <w:right w:val="none" w:sz="0" w:space="0" w:color="auto"/>
      </w:divBdr>
    </w:div>
    <w:div w:id="1873420718">
      <w:bodyDiv w:val="1"/>
      <w:marLeft w:val="0"/>
      <w:marRight w:val="0"/>
      <w:marTop w:val="0"/>
      <w:marBottom w:val="0"/>
      <w:divBdr>
        <w:top w:val="none" w:sz="0" w:space="0" w:color="auto"/>
        <w:left w:val="none" w:sz="0" w:space="0" w:color="auto"/>
        <w:bottom w:val="none" w:sz="0" w:space="0" w:color="auto"/>
        <w:right w:val="none" w:sz="0" w:space="0" w:color="auto"/>
      </w:divBdr>
    </w:div>
    <w:div w:id="1904830759">
      <w:bodyDiv w:val="1"/>
      <w:marLeft w:val="0"/>
      <w:marRight w:val="0"/>
      <w:marTop w:val="0"/>
      <w:marBottom w:val="0"/>
      <w:divBdr>
        <w:top w:val="none" w:sz="0" w:space="0" w:color="auto"/>
        <w:left w:val="none" w:sz="0" w:space="0" w:color="auto"/>
        <w:bottom w:val="none" w:sz="0" w:space="0" w:color="auto"/>
        <w:right w:val="none" w:sz="0" w:space="0" w:color="auto"/>
      </w:divBdr>
      <w:divsChild>
        <w:div w:id="778568831">
          <w:marLeft w:val="0"/>
          <w:marRight w:val="0"/>
          <w:marTop w:val="0"/>
          <w:marBottom w:val="0"/>
          <w:divBdr>
            <w:top w:val="none" w:sz="0" w:space="0" w:color="auto"/>
            <w:left w:val="none" w:sz="0" w:space="0" w:color="auto"/>
            <w:bottom w:val="none" w:sz="0" w:space="0" w:color="auto"/>
            <w:right w:val="none" w:sz="0" w:space="0" w:color="auto"/>
          </w:divBdr>
        </w:div>
        <w:div w:id="634220661">
          <w:marLeft w:val="0"/>
          <w:marRight w:val="0"/>
          <w:marTop w:val="0"/>
          <w:marBottom w:val="0"/>
          <w:divBdr>
            <w:top w:val="none" w:sz="0" w:space="0" w:color="auto"/>
            <w:left w:val="none" w:sz="0" w:space="0" w:color="auto"/>
            <w:bottom w:val="none" w:sz="0" w:space="0" w:color="auto"/>
            <w:right w:val="none" w:sz="0" w:space="0" w:color="auto"/>
          </w:divBdr>
          <w:divsChild>
            <w:div w:id="177041814">
              <w:marLeft w:val="0"/>
              <w:marRight w:val="0"/>
              <w:marTop w:val="0"/>
              <w:marBottom w:val="150"/>
              <w:divBdr>
                <w:top w:val="none" w:sz="0" w:space="0" w:color="auto"/>
                <w:left w:val="none" w:sz="0" w:space="0" w:color="auto"/>
                <w:bottom w:val="none" w:sz="0" w:space="0" w:color="auto"/>
                <w:right w:val="none" w:sz="0" w:space="0" w:color="auto"/>
              </w:divBdr>
              <w:divsChild>
                <w:div w:id="360939045">
                  <w:marLeft w:val="0"/>
                  <w:marRight w:val="0"/>
                  <w:marTop w:val="0"/>
                  <w:marBottom w:val="0"/>
                  <w:divBdr>
                    <w:top w:val="none" w:sz="0" w:space="0" w:color="auto"/>
                    <w:left w:val="none" w:sz="0" w:space="0" w:color="auto"/>
                    <w:bottom w:val="none" w:sz="0" w:space="0" w:color="auto"/>
                    <w:right w:val="none" w:sz="0" w:space="0" w:color="auto"/>
                  </w:divBdr>
                  <w:divsChild>
                    <w:div w:id="1465272352">
                      <w:marLeft w:val="0"/>
                      <w:marRight w:val="0"/>
                      <w:marTop w:val="150"/>
                      <w:marBottom w:val="0"/>
                      <w:divBdr>
                        <w:top w:val="none" w:sz="0" w:space="0" w:color="auto"/>
                        <w:left w:val="none" w:sz="0" w:space="0" w:color="auto"/>
                        <w:bottom w:val="none" w:sz="0" w:space="0" w:color="auto"/>
                        <w:right w:val="none" w:sz="0" w:space="0" w:color="auto"/>
                      </w:divBdr>
                      <w:divsChild>
                        <w:div w:id="1918858199">
                          <w:marLeft w:val="0"/>
                          <w:marRight w:val="75"/>
                          <w:marTop w:val="0"/>
                          <w:marBottom w:val="0"/>
                          <w:divBdr>
                            <w:top w:val="none" w:sz="0" w:space="0" w:color="auto"/>
                            <w:left w:val="none" w:sz="0" w:space="0" w:color="auto"/>
                            <w:bottom w:val="none" w:sz="0" w:space="0" w:color="auto"/>
                            <w:right w:val="none" w:sz="0" w:space="0" w:color="auto"/>
                          </w:divBdr>
                        </w:div>
                        <w:div w:id="909657662">
                          <w:marLeft w:val="0"/>
                          <w:marRight w:val="75"/>
                          <w:marTop w:val="0"/>
                          <w:marBottom w:val="0"/>
                          <w:divBdr>
                            <w:top w:val="none" w:sz="0" w:space="0" w:color="auto"/>
                            <w:left w:val="none" w:sz="0" w:space="0" w:color="auto"/>
                            <w:bottom w:val="none" w:sz="0" w:space="0" w:color="auto"/>
                            <w:right w:val="none" w:sz="0" w:space="0" w:color="auto"/>
                          </w:divBdr>
                        </w:div>
                        <w:div w:id="12251448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7591">
      <w:bodyDiv w:val="1"/>
      <w:marLeft w:val="0"/>
      <w:marRight w:val="0"/>
      <w:marTop w:val="0"/>
      <w:marBottom w:val="0"/>
      <w:divBdr>
        <w:top w:val="none" w:sz="0" w:space="0" w:color="auto"/>
        <w:left w:val="none" w:sz="0" w:space="0" w:color="auto"/>
        <w:bottom w:val="none" w:sz="0" w:space="0" w:color="auto"/>
        <w:right w:val="none" w:sz="0" w:space="0" w:color="auto"/>
      </w:divBdr>
    </w:div>
    <w:div w:id="2067140966">
      <w:bodyDiv w:val="1"/>
      <w:marLeft w:val="0"/>
      <w:marRight w:val="0"/>
      <w:marTop w:val="0"/>
      <w:marBottom w:val="0"/>
      <w:divBdr>
        <w:top w:val="none" w:sz="0" w:space="0" w:color="auto"/>
        <w:left w:val="none" w:sz="0" w:space="0" w:color="auto"/>
        <w:bottom w:val="none" w:sz="0" w:space="0" w:color="auto"/>
        <w:right w:val="none" w:sz="0" w:space="0" w:color="auto"/>
      </w:divBdr>
    </w:div>
    <w:div w:id="2103211328">
      <w:bodyDiv w:val="1"/>
      <w:marLeft w:val="0"/>
      <w:marRight w:val="0"/>
      <w:marTop w:val="0"/>
      <w:marBottom w:val="0"/>
      <w:divBdr>
        <w:top w:val="none" w:sz="0" w:space="0" w:color="auto"/>
        <w:left w:val="none" w:sz="0" w:space="0" w:color="auto"/>
        <w:bottom w:val="none" w:sz="0" w:space="0" w:color="auto"/>
        <w:right w:val="none" w:sz="0" w:space="0" w:color="auto"/>
      </w:divBdr>
      <w:divsChild>
        <w:div w:id="1347367984">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gshoj@dps.aa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ric.org/it/cop15-un-secretary-generals-remarks-to-the-un-biodiversity-conferenc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10D9-627F-254D-AC2C-B348B28B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33</Pages>
  <Words>11280</Words>
  <Characters>68809</Characters>
  <Application>Microsoft Office Word</Application>
  <DocSecurity>0</DocSecurity>
  <Lines>573</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Kongshøj</dc:creator>
  <cp:keywords/>
  <dc:description/>
  <cp:lastModifiedBy>Kristian Kongshøj</cp:lastModifiedBy>
  <cp:revision>17</cp:revision>
  <cp:lastPrinted>2023-02-02T09:14:00Z</cp:lastPrinted>
  <dcterms:created xsi:type="dcterms:W3CDTF">2023-10-13T11:05:00Z</dcterms:created>
  <dcterms:modified xsi:type="dcterms:W3CDTF">2023-11-24T12:45:00Z</dcterms:modified>
</cp:coreProperties>
</file>